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9158A4" w14:textId="2B4A330D" w:rsidR="0088545E" w:rsidRDefault="0088545E" w:rsidP="0088545E">
      <w:pPr>
        <w:jc w:val="center"/>
        <w:rPr>
          <w:rFonts w:ascii="Arial" w:hAnsi="Arial" w:cs="Arial"/>
          <w:b/>
          <w:bCs/>
          <w:sz w:val="24"/>
          <w:szCs w:val="24"/>
        </w:rPr>
      </w:pPr>
      <w:bookmarkStart w:id="0" w:name="_Toc54114651"/>
      <w:bookmarkStart w:id="1" w:name="_Hlk19784518"/>
      <w:r>
        <w:rPr>
          <w:rFonts w:ascii="Arial" w:hAnsi="Arial" w:cs="Arial"/>
          <w:b/>
          <w:bCs/>
          <w:noProof/>
          <w:sz w:val="24"/>
          <w:szCs w:val="24"/>
        </w:rPr>
        <w:drawing>
          <wp:inline distT="0" distB="0" distL="0" distR="0" wp14:anchorId="1F86E7F4" wp14:editId="52614D58">
            <wp:extent cx="3841115" cy="10004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3841115" cy="1000485"/>
                    </a:xfrm>
                    <a:prstGeom prst="rect">
                      <a:avLst/>
                    </a:prstGeom>
                    <a:noFill/>
                  </pic:spPr>
                </pic:pic>
              </a:graphicData>
            </a:graphic>
          </wp:inline>
        </w:drawing>
      </w:r>
    </w:p>
    <w:p w14:paraId="3827309B" w14:textId="29BCE2B6" w:rsidR="00BF0E13" w:rsidRPr="00F33C68" w:rsidRDefault="00D601E9" w:rsidP="00B16EF8">
      <w:pPr>
        <w:rPr>
          <w:rFonts w:ascii="Arial" w:hAnsi="Arial" w:cs="Arial"/>
          <w:b/>
          <w:bCs/>
          <w:sz w:val="24"/>
          <w:szCs w:val="24"/>
        </w:rPr>
      </w:pPr>
      <w:r w:rsidRPr="00F33C68">
        <w:rPr>
          <w:rFonts w:ascii="Arial" w:hAnsi="Arial" w:cs="Arial"/>
          <w:b/>
          <w:bCs/>
          <w:sz w:val="24"/>
          <w:szCs w:val="24"/>
        </w:rPr>
        <w:t>Fiscal Year 202</w:t>
      </w:r>
      <w:r w:rsidR="00F26645">
        <w:rPr>
          <w:rFonts w:ascii="Arial" w:hAnsi="Arial" w:cs="Arial"/>
          <w:b/>
          <w:bCs/>
          <w:sz w:val="24"/>
          <w:szCs w:val="24"/>
        </w:rPr>
        <w:t>5</w:t>
      </w:r>
      <w:r w:rsidRPr="00F33C68">
        <w:rPr>
          <w:rFonts w:ascii="Arial" w:hAnsi="Arial" w:cs="Arial"/>
          <w:b/>
          <w:bCs/>
          <w:sz w:val="24"/>
          <w:szCs w:val="24"/>
        </w:rPr>
        <w:t xml:space="preserve"> </w:t>
      </w:r>
      <w:r w:rsidR="000A73AC" w:rsidRPr="00F33C68">
        <w:rPr>
          <w:rFonts w:ascii="Arial" w:hAnsi="Arial" w:cs="Arial"/>
          <w:b/>
          <w:bCs/>
          <w:sz w:val="24"/>
          <w:szCs w:val="24"/>
        </w:rPr>
        <w:t xml:space="preserve">Going PRO Talent </w:t>
      </w:r>
      <w:r w:rsidR="000A73AC" w:rsidRPr="00765D21">
        <w:rPr>
          <w:rFonts w:ascii="Arial" w:hAnsi="Arial" w:cs="Arial"/>
          <w:b/>
          <w:bCs/>
          <w:sz w:val="24"/>
          <w:szCs w:val="24"/>
        </w:rPr>
        <w:t xml:space="preserve">Fund </w:t>
      </w:r>
      <w:r w:rsidR="00CD2887">
        <w:rPr>
          <w:rFonts w:ascii="Arial" w:hAnsi="Arial" w:cs="Arial"/>
          <w:b/>
          <w:bCs/>
          <w:sz w:val="24"/>
          <w:szCs w:val="24"/>
        </w:rPr>
        <w:t>Employer</w:t>
      </w:r>
      <w:r w:rsidR="00B16EF8" w:rsidRPr="00765D21">
        <w:rPr>
          <w:rFonts w:ascii="Arial" w:hAnsi="Arial" w:cs="Arial"/>
          <w:b/>
          <w:bCs/>
          <w:sz w:val="24"/>
          <w:szCs w:val="24"/>
        </w:rPr>
        <w:t>-</w:t>
      </w:r>
      <w:r w:rsidR="00B16EF8" w:rsidRPr="00F33C68">
        <w:rPr>
          <w:rFonts w:ascii="Arial" w:hAnsi="Arial" w:cs="Arial"/>
          <w:b/>
          <w:bCs/>
          <w:sz w:val="24"/>
          <w:szCs w:val="24"/>
        </w:rPr>
        <w:t>led Collaborative (</w:t>
      </w:r>
      <w:r w:rsidR="00EE79DA">
        <w:rPr>
          <w:rFonts w:ascii="Arial" w:hAnsi="Arial" w:cs="Arial"/>
          <w:b/>
          <w:bCs/>
          <w:sz w:val="24"/>
          <w:szCs w:val="24"/>
        </w:rPr>
        <w:t>E</w:t>
      </w:r>
      <w:r w:rsidR="00B16EF8" w:rsidRPr="00F33C68">
        <w:rPr>
          <w:rFonts w:ascii="Arial" w:hAnsi="Arial" w:cs="Arial"/>
          <w:b/>
          <w:bCs/>
          <w:sz w:val="24"/>
          <w:szCs w:val="24"/>
        </w:rPr>
        <w:t>LC)</w:t>
      </w:r>
      <w:bookmarkEnd w:id="0"/>
      <w:r w:rsidR="00114A01" w:rsidRPr="00F33C68">
        <w:rPr>
          <w:rFonts w:ascii="Arial" w:hAnsi="Arial" w:cs="Arial"/>
          <w:b/>
          <w:bCs/>
          <w:sz w:val="24"/>
          <w:szCs w:val="24"/>
        </w:rPr>
        <w:t xml:space="preserve"> </w:t>
      </w:r>
      <w:r w:rsidR="001265F2" w:rsidRPr="00F33C68">
        <w:rPr>
          <w:rFonts w:ascii="Arial" w:hAnsi="Arial" w:cs="Arial"/>
          <w:b/>
          <w:bCs/>
          <w:sz w:val="24"/>
          <w:szCs w:val="24"/>
        </w:rPr>
        <w:t>Application and Award Process</w:t>
      </w:r>
    </w:p>
    <w:p w14:paraId="558CA7BC" w14:textId="3D061C31" w:rsidR="00B16EF8" w:rsidRPr="008401AD" w:rsidRDefault="00B16EF8" w:rsidP="00523F99">
      <w:pPr>
        <w:spacing w:after="0"/>
        <w:rPr>
          <w:rFonts w:ascii="Arial" w:hAnsi="Arial" w:cs="Arial"/>
          <w:sz w:val="23"/>
          <w:szCs w:val="23"/>
        </w:rPr>
      </w:pPr>
      <w:bookmarkStart w:id="2" w:name="_Hlk14867754"/>
      <w:bookmarkStart w:id="3" w:name="_Hlk20126080"/>
      <w:bookmarkStart w:id="4" w:name="_Hlk114661445"/>
      <w:bookmarkEnd w:id="1"/>
      <w:r w:rsidRPr="008401AD">
        <w:rPr>
          <w:rFonts w:ascii="Arial" w:hAnsi="Arial" w:cs="Arial"/>
          <w:sz w:val="23"/>
          <w:szCs w:val="23"/>
        </w:rPr>
        <w:t>An</w:t>
      </w:r>
      <w:r w:rsidR="00523F99" w:rsidRPr="008401AD">
        <w:rPr>
          <w:rFonts w:ascii="Arial" w:hAnsi="Arial" w:cs="Arial"/>
          <w:sz w:val="23"/>
          <w:szCs w:val="23"/>
        </w:rPr>
        <w:t xml:space="preserve"> </w:t>
      </w:r>
      <w:r w:rsidR="000457BA">
        <w:rPr>
          <w:rFonts w:ascii="Arial" w:hAnsi="Arial" w:cs="Arial"/>
          <w:sz w:val="23"/>
          <w:szCs w:val="23"/>
        </w:rPr>
        <w:t>E</w:t>
      </w:r>
      <w:r w:rsidR="00EE79DA">
        <w:rPr>
          <w:rFonts w:ascii="Arial" w:hAnsi="Arial" w:cs="Arial"/>
          <w:sz w:val="23"/>
          <w:szCs w:val="23"/>
        </w:rPr>
        <w:t>mployer-</w:t>
      </w:r>
      <w:r w:rsidR="00523F99" w:rsidRPr="008401AD">
        <w:rPr>
          <w:rFonts w:ascii="Arial" w:hAnsi="Arial" w:cs="Arial"/>
          <w:sz w:val="23"/>
          <w:szCs w:val="23"/>
        </w:rPr>
        <w:t xml:space="preserve">led </w:t>
      </w:r>
      <w:r w:rsidR="000457BA">
        <w:rPr>
          <w:rFonts w:ascii="Arial" w:hAnsi="Arial" w:cs="Arial"/>
          <w:sz w:val="23"/>
          <w:szCs w:val="23"/>
        </w:rPr>
        <w:t>C</w:t>
      </w:r>
      <w:r w:rsidR="00523F99" w:rsidRPr="008401AD">
        <w:rPr>
          <w:rFonts w:ascii="Arial" w:hAnsi="Arial" w:cs="Arial"/>
          <w:sz w:val="23"/>
          <w:szCs w:val="23"/>
        </w:rPr>
        <w:t xml:space="preserve">ollaborative </w:t>
      </w:r>
      <w:r w:rsidR="00EE79DA">
        <w:rPr>
          <w:rFonts w:ascii="Arial" w:hAnsi="Arial" w:cs="Arial"/>
          <w:sz w:val="23"/>
          <w:szCs w:val="23"/>
        </w:rPr>
        <w:t>(E</w:t>
      </w:r>
      <w:r w:rsidR="00523F99" w:rsidRPr="008401AD">
        <w:rPr>
          <w:rFonts w:ascii="Arial" w:hAnsi="Arial" w:cs="Arial"/>
          <w:sz w:val="23"/>
          <w:szCs w:val="23"/>
        </w:rPr>
        <w:t xml:space="preserve">LC) </w:t>
      </w:r>
      <w:r w:rsidRPr="008401AD">
        <w:rPr>
          <w:rFonts w:ascii="Arial" w:hAnsi="Arial" w:cs="Arial"/>
          <w:sz w:val="23"/>
          <w:szCs w:val="23"/>
        </w:rPr>
        <w:t xml:space="preserve">brings together </w:t>
      </w:r>
      <w:r w:rsidR="002A3A63" w:rsidRPr="008401AD">
        <w:rPr>
          <w:rFonts w:ascii="Arial" w:hAnsi="Arial" w:cs="Arial"/>
          <w:sz w:val="23"/>
          <w:szCs w:val="23"/>
        </w:rPr>
        <w:t xml:space="preserve">multiple </w:t>
      </w:r>
      <w:r w:rsidRPr="008401AD">
        <w:rPr>
          <w:rFonts w:ascii="Arial" w:hAnsi="Arial" w:cs="Arial"/>
          <w:sz w:val="23"/>
          <w:szCs w:val="23"/>
        </w:rPr>
        <w:t xml:space="preserve">employers (a minimum of two), education and training institutions, workforce development organizations, and other applicable partners such as economic development organizations to formulate training and education solutions to fill identified talent gaps. Successful </w:t>
      </w:r>
      <w:r w:rsidR="00EE79DA">
        <w:rPr>
          <w:rFonts w:ascii="Arial" w:hAnsi="Arial" w:cs="Arial"/>
          <w:sz w:val="23"/>
          <w:szCs w:val="23"/>
        </w:rPr>
        <w:t>E</w:t>
      </w:r>
      <w:r w:rsidRPr="008401AD">
        <w:rPr>
          <w:rFonts w:ascii="Arial" w:hAnsi="Arial" w:cs="Arial"/>
          <w:sz w:val="23"/>
          <w:szCs w:val="23"/>
        </w:rPr>
        <w:t xml:space="preserve">LCs solve a common or shared workforce problem with supported training that leverages the power of collaboration; also increasing the competitiveness of employer partners, while creating, training, and filling “in-demand jobs.” </w:t>
      </w:r>
      <w:bookmarkStart w:id="5" w:name="_Hlk14867802"/>
      <w:r w:rsidRPr="008401AD">
        <w:rPr>
          <w:rFonts w:ascii="Arial" w:hAnsi="Arial" w:cs="Arial"/>
          <w:sz w:val="23"/>
          <w:szCs w:val="23"/>
        </w:rPr>
        <w:t xml:space="preserve"> </w:t>
      </w:r>
      <w:bookmarkEnd w:id="5"/>
    </w:p>
    <w:p w14:paraId="4BFA9DB7" w14:textId="77777777" w:rsidR="00523F99" w:rsidRPr="008401AD" w:rsidRDefault="00523F99" w:rsidP="00523F99">
      <w:pPr>
        <w:spacing w:after="0"/>
        <w:rPr>
          <w:rFonts w:ascii="Arial" w:hAnsi="Arial" w:cs="Arial"/>
          <w:sz w:val="23"/>
          <w:szCs w:val="23"/>
        </w:rPr>
      </w:pPr>
    </w:p>
    <w:bookmarkEnd w:id="2"/>
    <w:bookmarkEnd w:id="3"/>
    <w:p w14:paraId="541A2B13" w14:textId="1AB59889" w:rsidR="00790D05" w:rsidRPr="008401AD" w:rsidRDefault="00EE79DA" w:rsidP="00523F99">
      <w:pPr>
        <w:numPr>
          <w:ilvl w:val="0"/>
          <w:numId w:val="5"/>
        </w:numPr>
        <w:spacing w:after="0"/>
        <w:rPr>
          <w:rFonts w:ascii="Arial" w:hAnsi="Arial" w:cs="Arial"/>
          <w:sz w:val="23"/>
          <w:szCs w:val="23"/>
        </w:rPr>
      </w:pPr>
      <w:r>
        <w:rPr>
          <w:rFonts w:ascii="Arial" w:hAnsi="Arial" w:cs="Arial"/>
          <w:sz w:val="23"/>
          <w:szCs w:val="23"/>
        </w:rPr>
        <w:t>E</w:t>
      </w:r>
      <w:r w:rsidR="001976C9" w:rsidRPr="008401AD">
        <w:rPr>
          <w:rFonts w:ascii="Arial" w:hAnsi="Arial" w:cs="Arial"/>
          <w:sz w:val="23"/>
          <w:szCs w:val="23"/>
        </w:rPr>
        <w:t>LC</w:t>
      </w:r>
      <w:r w:rsidR="00EA193F" w:rsidRPr="008401AD">
        <w:rPr>
          <w:rFonts w:ascii="Arial" w:hAnsi="Arial" w:cs="Arial"/>
          <w:sz w:val="23"/>
          <w:szCs w:val="23"/>
        </w:rPr>
        <w:t xml:space="preserve">s have a separate application and scoring criteria </w:t>
      </w:r>
      <w:r w:rsidR="00A2485F" w:rsidRPr="008401AD">
        <w:rPr>
          <w:rFonts w:ascii="Arial" w:hAnsi="Arial" w:cs="Arial"/>
          <w:sz w:val="23"/>
          <w:szCs w:val="23"/>
        </w:rPr>
        <w:t xml:space="preserve">than the </w:t>
      </w:r>
      <w:r w:rsidR="00A30411" w:rsidRPr="008401AD">
        <w:rPr>
          <w:rFonts w:ascii="Arial" w:hAnsi="Arial" w:cs="Arial"/>
          <w:sz w:val="23"/>
          <w:szCs w:val="23"/>
        </w:rPr>
        <w:t>independent application</w:t>
      </w:r>
      <w:r w:rsidR="00300EFC" w:rsidRPr="008401AD">
        <w:rPr>
          <w:rFonts w:ascii="Arial" w:hAnsi="Arial" w:cs="Arial"/>
          <w:sz w:val="23"/>
          <w:szCs w:val="23"/>
        </w:rPr>
        <w:t>.</w:t>
      </w:r>
    </w:p>
    <w:p w14:paraId="2B2182B1" w14:textId="4EFC76C0" w:rsidR="00B16EF8" w:rsidRPr="008401AD" w:rsidRDefault="00B16EF8" w:rsidP="00523F99">
      <w:pPr>
        <w:numPr>
          <w:ilvl w:val="0"/>
          <w:numId w:val="5"/>
        </w:numPr>
        <w:spacing w:after="0"/>
        <w:rPr>
          <w:rFonts w:ascii="Arial" w:hAnsi="Arial" w:cs="Arial"/>
          <w:sz w:val="23"/>
          <w:szCs w:val="23"/>
        </w:rPr>
      </w:pPr>
      <w:bookmarkStart w:id="6" w:name="_Hlk20126171"/>
      <w:r w:rsidRPr="008401AD">
        <w:rPr>
          <w:rFonts w:ascii="Arial" w:hAnsi="Arial" w:cs="Arial"/>
          <w:sz w:val="23"/>
          <w:szCs w:val="23"/>
        </w:rPr>
        <w:t>Training may be for current and new employees, including new U</w:t>
      </w:r>
      <w:r w:rsidR="00A05E4E" w:rsidRPr="008401AD">
        <w:rPr>
          <w:rFonts w:ascii="Arial" w:hAnsi="Arial" w:cs="Arial"/>
          <w:sz w:val="23"/>
          <w:szCs w:val="23"/>
        </w:rPr>
        <w:t>.S. Department of Labor (U</w:t>
      </w:r>
      <w:r w:rsidRPr="008401AD">
        <w:rPr>
          <w:rFonts w:ascii="Arial" w:hAnsi="Arial" w:cs="Arial"/>
          <w:sz w:val="23"/>
          <w:szCs w:val="23"/>
        </w:rPr>
        <w:t>SDOL</w:t>
      </w:r>
      <w:r w:rsidR="00A05E4E" w:rsidRPr="008401AD">
        <w:rPr>
          <w:rFonts w:ascii="Arial" w:hAnsi="Arial" w:cs="Arial"/>
          <w:sz w:val="23"/>
          <w:szCs w:val="23"/>
        </w:rPr>
        <w:t>)</w:t>
      </w:r>
      <w:r w:rsidRPr="008401AD">
        <w:rPr>
          <w:rFonts w:ascii="Arial" w:hAnsi="Arial" w:cs="Arial"/>
          <w:sz w:val="23"/>
          <w:szCs w:val="23"/>
        </w:rPr>
        <w:t xml:space="preserve"> Registered Apprentices</w:t>
      </w:r>
      <w:r w:rsidR="00300EFC" w:rsidRPr="008401AD">
        <w:rPr>
          <w:rFonts w:ascii="Arial" w:hAnsi="Arial" w:cs="Arial"/>
          <w:sz w:val="23"/>
          <w:szCs w:val="23"/>
        </w:rPr>
        <w:t>.</w:t>
      </w:r>
    </w:p>
    <w:bookmarkEnd w:id="6"/>
    <w:p w14:paraId="3F9F82D6" w14:textId="7C5297C9" w:rsidR="00B16EF8" w:rsidRPr="008401AD" w:rsidRDefault="00B16EF8" w:rsidP="00523F99">
      <w:pPr>
        <w:numPr>
          <w:ilvl w:val="0"/>
          <w:numId w:val="5"/>
        </w:numPr>
        <w:spacing w:after="0"/>
        <w:rPr>
          <w:rFonts w:ascii="Arial" w:hAnsi="Arial" w:cs="Arial"/>
          <w:sz w:val="23"/>
          <w:szCs w:val="23"/>
        </w:rPr>
      </w:pPr>
      <w:r w:rsidRPr="008401AD">
        <w:rPr>
          <w:rFonts w:ascii="Arial" w:hAnsi="Arial" w:cs="Arial"/>
          <w:sz w:val="23"/>
          <w:szCs w:val="23"/>
        </w:rPr>
        <w:t>Employer partners can be from across the state</w:t>
      </w:r>
      <w:r w:rsidR="00300EFC" w:rsidRPr="008401AD">
        <w:rPr>
          <w:rFonts w:ascii="Arial" w:hAnsi="Arial" w:cs="Arial"/>
          <w:sz w:val="23"/>
          <w:szCs w:val="23"/>
        </w:rPr>
        <w:t>.</w:t>
      </w:r>
    </w:p>
    <w:p w14:paraId="261FD5EC" w14:textId="34C47718" w:rsidR="00391290" w:rsidRPr="008401AD" w:rsidRDefault="000855FF" w:rsidP="00391290">
      <w:pPr>
        <w:numPr>
          <w:ilvl w:val="0"/>
          <w:numId w:val="5"/>
        </w:numPr>
        <w:spacing w:after="0"/>
        <w:rPr>
          <w:rFonts w:ascii="Arial" w:hAnsi="Arial" w:cs="Arial"/>
          <w:sz w:val="23"/>
          <w:szCs w:val="23"/>
        </w:rPr>
      </w:pPr>
      <w:r w:rsidRPr="008401AD">
        <w:rPr>
          <w:rFonts w:ascii="Arial" w:hAnsi="Arial" w:cs="Arial"/>
          <w:sz w:val="23"/>
          <w:szCs w:val="23"/>
        </w:rPr>
        <w:t xml:space="preserve">Employers may have no more than </w:t>
      </w:r>
      <w:r w:rsidR="008401AD" w:rsidRPr="008401AD">
        <w:rPr>
          <w:rFonts w:ascii="Arial" w:hAnsi="Arial" w:cs="Arial"/>
          <w:sz w:val="23"/>
          <w:szCs w:val="23"/>
        </w:rPr>
        <w:t>one (1)</w:t>
      </w:r>
      <w:r w:rsidRPr="008401AD">
        <w:rPr>
          <w:rFonts w:ascii="Arial" w:hAnsi="Arial" w:cs="Arial"/>
          <w:sz w:val="23"/>
          <w:szCs w:val="23"/>
        </w:rPr>
        <w:t xml:space="preserve"> independent and </w:t>
      </w:r>
      <w:r w:rsidR="008401AD" w:rsidRPr="008401AD">
        <w:rPr>
          <w:rFonts w:ascii="Arial" w:hAnsi="Arial" w:cs="Arial"/>
          <w:sz w:val="23"/>
          <w:szCs w:val="23"/>
        </w:rPr>
        <w:t>one (</w:t>
      </w:r>
      <w:r w:rsidRPr="008401AD">
        <w:rPr>
          <w:rFonts w:ascii="Arial" w:hAnsi="Arial" w:cs="Arial"/>
          <w:sz w:val="23"/>
          <w:szCs w:val="23"/>
        </w:rPr>
        <w:t>1</w:t>
      </w:r>
      <w:r w:rsidR="008401AD" w:rsidRPr="008401AD">
        <w:rPr>
          <w:rFonts w:ascii="Arial" w:hAnsi="Arial" w:cs="Arial"/>
          <w:sz w:val="23"/>
          <w:szCs w:val="23"/>
        </w:rPr>
        <w:t>)</w:t>
      </w:r>
      <w:r w:rsidRPr="008401AD">
        <w:rPr>
          <w:rFonts w:ascii="Arial" w:hAnsi="Arial" w:cs="Arial"/>
          <w:sz w:val="23"/>
          <w:szCs w:val="23"/>
        </w:rPr>
        <w:t xml:space="preserve"> </w:t>
      </w:r>
      <w:r w:rsidR="00EE79DA">
        <w:rPr>
          <w:rFonts w:ascii="Arial" w:hAnsi="Arial" w:cs="Arial"/>
          <w:sz w:val="23"/>
          <w:szCs w:val="23"/>
        </w:rPr>
        <w:t>E</w:t>
      </w:r>
      <w:r w:rsidRPr="008401AD">
        <w:rPr>
          <w:rFonts w:ascii="Arial" w:hAnsi="Arial" w:cs="Arial"/>
          <w:sz w:val="23"/>
          <w:szCs w:val="23"/>
        </w:rPr>
        <w:t>LC award</w:t>
      </w:r>
      <w:r w:rsidR="00CA210B" w:rsidRPr="008401AD">
        <w:rPr>
          <w:rFonts w:ascii="Arial" w:hAnsi="Arial" w:cs="Arial"/>
          <w:sz w:val="23"/>
          <w:szCs w:val="23"/>
        </w:rPr>
        <w:t xml:space="preserve"> per fiscal year</w:t>
      </w:r>
      <w:r w:rsidRPr="008401AD">
        <w:rPr>
          <w:rFonts w:ascii="Arial" w:hAnsi="Arial" w:cs="Arial"/>
          <w:sz w:val="23"/>
          <w:szCs w:val="23"/>
        </w:rPr>
        <w:t>, based on employer location</w:t>
      </w:r>
      <w:r w:rsidR="00CA210B" w:rsidRPr="008401AD">
        <w:rPr>
          <w:rFonts w:ascii="Arial" w:hAnsi="Arial" w:cs="Arial"/>
          <w:sz w:val="23"/>
          <w:szCs w:val="23"/>
        </w:rPr>
        <w:t>, and may reapply if previous application was not successful. No more than $500,000 may be awarded to any individual employer site</w:t>
      </w:r>
      <w:r w:rsidR="008401AD" w:rsidRPr="008401AD">
        <w:rPr>
          <w:rFonts w:ascii="Arial" w:hAnsi="Arial" w:cs="Arial"/>
          <w:sz w:val="23"/>
          <w:szCs w:val="23"/>
        </w:rPr>
        <w:t xml:space="preserve"> (for independent and </w:t>
      </w:r>
      <w:r w:rsidR="00EE79DA">
        <w:rPr>
          <w:rFonts w:ascii="Arial" w:hAnsi="Arial" w:cs="Arial"/>
          <w:sz w:val="23"/>
          <w:szCs w:val="23"/>
        </w:rPr>
        <w:t>E</w:t>
      </w:r>
      <w:r w:rsidR="008401AD" w:rsidRPr="008401AD">
        <w:rPr>
          <w:rFonts w:ascii="Arial" w:hAnsi="Arial" w:cs="Arial"/>
          <w:sz w:val="23"/>
          <w:szCs w:val="23"/>
        </w:rPr>
        <w:t>LC combined)</w:t>
      </w:r>
      <w:r w:rsidR="00CA210B" w:rsidRPr="008401AD">
        <w:rPr>
          <w:rFonts w:ascii="Arial" w:hAnsi="Arial" w:cs="Arial"/>
          <w:sz w:val="23"/>
          <w:szCs w:val="23"/>
        </w:rPr>
        <w:t>.</w:t>
      </w:r>
    </w:p>
    <w:p w14:paraId="0886A244" w14:textId="23A2BE71" w:rsidR="00391290" w:rsidRPr="008401AD" w:rsidRDefault="00391290" w:rsidP="00391290">
      <w:pPr>
        <w:numPr>
          <w:ilvl w:val="0"/>
          <w:numId w:val="5"/>
        </w:numPr>
        <w:spacing w:after="0"/>
        <w:rPr>
          <w:rFonts w:ascii="Arial" w:hAnsi="Arial" w:cs="Arial"/>
          <w:sz w:val="23"/>
          <w:szCs w:val="23"/>
        </w:rPr>
      </w:pPr>
      <w:bookmarkStart w:id="7" w:name="_Hlk114661279"/>
      <w:r w:rsidRPr="008401AD">
        <w:rPr>
          <w:rFonts w:ascii="Arial" w:hAnsi="Arial" w:cs="Arial"/>
          <w:sz w:val="23"/>
          <w:szCs w:val="23"/>
        </w:rPr>
        <w:t xml:space="preserve">The intent of an </w:t>
      </w:r>
      <w:r w:rsidR="00EE79DA">
        <w:rPr>
          <w:rFonts w:ascii="Arial" w:hAnsi="Arial" w:cs="Arial"/>
          <w:sz w:val="23"/>
          <w:szCs w:val="23"/>
        </w:rPr>
        <w:t>E</w:t>
      </w:r>
      <w:r w:rsidRPr="008401AD">
        <w:rPr>
          <w:rFonts w:ascii="Arial" w:hAnsi="Arial" w:cs="Arial"/>
          <w:sz w:val="23"/>
          <w:szCs w:val="23"/>
        </w:rPr>
        <w:t>LC is for multiple, separate employers to apply. A company with more than one site location may apply but must collaborate with</w:t>
      </w:r>
      <w:r w:rsidR="00E51812" w:rsidRPr="008401AD">
        <w:rPr>
          <w:rFonts w:ascii="Arial" w:hAnsi="Arial" w:cs="Arial"/>
          <w:sz w:val="23"/>
          <w:szCs w:val="23"/>
        </w:rPr>
        <w:t xml:space="preserve"> additional</w:t>
      </w:r>
      <w:r w:rsidRPr="008401AD">
        <w:rPr>
          <w:rFonts w:ascii="Arial" w:hAnsi="Arial" w:cs="Arial"/>
          <w:sz w:val="23"/>
          <w:szCs w:val="23"/>
        </w:rPr>
        <w:t xml:space="preserve"> outside </w:t>
      </w:r>
      <w:r w:rsidR="006B0C3D">
        <w:rPr>
          <w:rFonts w:ascii="Arial" w:hAnsi="Arial" w:cs="Arial"/>
          <w:sz w:val="23"/>
          <w:szCs w:val="23"/>
        </w:rPr>
        <w:t xml:space="preserve">employer </w:t>
      </w:r>
      <w:r w:rsidRPr="008401AD">
        <w:rPr>
          <w:rFonts w:ascii="Arial" w:hAnsi="Arial" w:cs="Arial"/>
          <w:sz w:val="23"/>
          <w:szCs w:val="23"/>
        </w:rPr>
        <w:t>partners.</w:t>
      </w:r>
    </w:p>
    <w:bookmarkEnd w:id="7"/>
    <w:p w14:paraId="5F9CD42B" w14:textId="42BB1E24" w:rsidR="00FA4E06" w:rsidRPr="008401AD" w:rsidRDefault="00EE79DA" w:rsidP="00FA4E06">
      <w:pPr>
        <w:numPr>
          <w:ilvl w:val="0"/>
          <w:numId w:val="5"/>
        </w:numPr>
        <w:spacing w:after="0"/>
        <w:rPr>
          <w:rFonts w:ascii="Arial" w:hAnsi="Arial" w:cs="Arial"/>
          <w:sz w:val="23"/>
          <w:szCs w:val="23"/>
        </w:rPr>
      </w:pPr>
      <w:r>
        <w:rPr>
          <w:rFonts w:ascii="Arial" w:hAnsi="Arial" w:cs="Arial"/>
          <w:sz w:val="23"/>
          <w:szCs w:val="23"/>
        </w:rPr>
        <w:t>E</w:t>
      </w:r>
      <w:r w:rsidR="00FA4E06" w:rsidRPr="008401AD">
        <w:rPr>
          <w:rFonts w:ascii="Arial" w:hAnsi="Arial" w:cs="Arial"/>
          <w:sz w:val="23"/>
          <w:szCs w:val="23"/>
        </w:rPr>
        <w:t xml:space="preserve">LC applications are for classroom or customized training only, not wage reimbursement, with an exception for employers holding shared </w:t>
      </w:r>
      <w:r w:rsidR="00A05E4E" w:rsidRPr="008401AD">
        <w:rPr>
          <w:rFonts w:ascii="Arial" w:hAnsi="Arial" w:cs="Arial"/>
          <w:sz w:val="23"/>
          <w:szCs w:val="23"/>
        </w:rPr>
        <w:t>On-the-Job (</w:t>
      </w:r>
      <w:r w:rsidR="00FA4E06" w:rsidRPr="008401AD">
        <w:rPr>
          <w:rFonts w:ascii="Arial" w:hAnsi="Arial" w:cs="Arial"/>
          <w:sz w:val="23"/>
          <w:szCs w:val="23"/>
        </w:rPr>
        <w:t>OJT</w:t>
      </w:r>
      <w:r w:rsidR="00A05E4E" w:rsidRPr="008401AD">
        <w:rPr>
          <w:rFonts w:ascii="Arial" w:hAnsi="Arial" w:cs="Arial"/>
          <w:sz w:val="23"/>
          <w:szCs w:val="23"/>
        </w:rPr>
        <w:t>)</w:t>
      </w:r>
      <w:r w:rsidR="00FA4E06" w:rsidRPr="008401AD">
        <w:rPr>
          <w:rFonts w:ascii="Arial" w:hAnsi="Arial" w:cs="Arial"/>
          <w:sz w:val="23"/>
          <w:szCs w:val="23"/>
        </w:rPr>
        <w:t xml:space="preserve"> USDOL Registered Apprentice training standards. </w:t>
      </w:r>
    </w:p>
    <w:p w14:paraId="55FACA5B" w14:textId="101B33CF" w:rsidR="00F8183A" w:rsidRPr="008401AD" w:rsidRDefault="00EE79DA" w:rsidP="003A30AA">
      <w:pPr>
        <w:numPr>
          <w:ilvl w:val="0"/>
          <w:numId w:val="5"/>
        </w:numPr>
        <w:spacing w:after="0"/>
        <w:rPr>
          <w:rFonts w:ascii="Arial" w:hAnsi="Arial" w:cs="Arial"/>
          <w:sz w:val="23"/>
          <w:szCs w:val="23"/>
        </w:rPr>
      </w:pPr>
      <w:bookmarkStart w:id="8" w:name="_Hlk70576414"/>
      <w:bookmarkStart w:id="9" w:name="_Hlk70576005"/>
      <w:r>
        <w:rPr>
          <w:rFonts w:ascii="Arial" w:hAnsi="Arial" w:cs="Arial"/>
          <w:sz w:val="23"/>
          <w:szCs w:val="23"/>
        </w:rPr>
        <w:t>E</w:t>
      </w:r>
      <w:r w:rsidR="002654BA" w:rsidRPr="008401AD">
        <w:rPr>
          <w:rFonts w:ascii="Arial" w:hAnsi="Arial" w:cs="Arial"/>
          <w:sz w:val="23"/>
          <w:szCs w:val="23"/>
        </w:rPr>
        <w:t>LC training must be shared by a minimum of two employers</w:t>
      </w:r>
      <w:r w:rsidR="003A30AA" w:rsidRPr="008401AD">
        <w:rPr>
          <w:rFonts w:ascii="Arial" w:hAnsi="Arial" w:cs="Arial"/>
          <w:sz w:val="23"/>
          <w:szCs w:val="23"/>
        </w:rPr>
        <w:t xml:space="preserve">. </w:t>
      </w:r>
      <w:r w:rsidR="005F5B43" w:rsidRPr="008401AD">
        <w:rPr>
          <w:rFonts w:ascii="Arial" w:hAnsi="Arial" w:cs="Arial"/>
          <w:sz w:val="23"/>
          <w:szCs w:val="23"/>
        </w:rPr>
        <w:t>In the case where shared training has a different provider; strong rationale on the common training need, proposed training, training standards, common curriculum, shared objectives and competencies must be explained. In addition, compelling evidence of collaborative intent must be explained in the “Statement of Collaboration” section of the application.</w:t>
      </w:r>
      <w:bookmarkEnd w:id="8"/>
    </w:p>
    <w:p w14:paraId="7548C23B" w14:textId="1E86B708" w:rsidR="008401AD" w:rsidRPr="008401AD" w:rsidRDefault="008401AD" w:rsidP="008401AD">
      <w:pPr>
        <w:numPr>
          <w:ilvl w:val="0"/>
          <w:numId w:val="5"/>
        </w:numPr>
        <w:spacing w:after="0"/>
        <w:rPr>
          <w:rFonts w:ascii="Arial" w:hAnsi="Arial" w:cs="Arial"/>
          <w:sz w:val="23"/>
          <w:szCs w:val="23"/>
        </w:rPr>
      </w:pPr>
      <w:r w:rsidRPr="008401AD">
        <w:rPr>
          <w:rFonts w:ascii="Arial" w:hAnsi="Arial" w:cs="Arial"/>
          <w:sz w:val="23"/>
          <w:szCs w:val="23"/>
        </w:rPr>
        <w:t xml:space="preserve">Training Plan minimum combined total request amount for the </w:t>
      </w:r>
      <w:r w:rsidR="00EE79DA">
        <w:rPr>
          <w:rFonts w:ascii="Arial" w:hAnsi="Arial" w:cs="Arial"/>
          <w:sz w:val="23"/>
          <w:szCs w:val="23"/>
        </w:rPr>
        <w:t>E</w:t>
      </w:r>
      <w:r w:rsidRPr="008401AD">
        <w:rPr>
          <w:rFonts w:ascii="Arial" w:hAnsi="Arial" w:cs="Arial"/>
          <w:sz w:val="23"/>
          <w:szCs w:val="23"/>
        </w:rPr>
        <w:t xml:space="preserve">LC application is $1,000. A participating partner or employer’s individual request may be less than $1,000 as long as the total amount of the </w:t>
      </w:r>
      <w:r w:rsidR="00EE79DA">
        <w:rPr>
          <w:rFonts w:ascii="Arial" w:hAnsi="Arial" w:cs="Arial"/>
          <w:sz w:val="23"/>
          <w:szCs w:val="23"/>
        </w:rPr>
        <w:t>E</w:t>
      </w:r>
      <w:r w:rsidRPr="008401AD">
        <w:rPr>
          <w:rFonts w:ascii="Arial" w:hAnsi="Arial" w:cs="Arial"/>
          <w:sz w:val="23"/>
          <w:szCs w:val="23"/>
        </w:rPr>
        <w:t>LC application in which they are participating is at least $1,000.</w:t>
      </w:r>
    </w:p>
    <w:p w14:paraId="03504F04" w14:textId="0193F22F" w:rsidR="008401AD" w:rsidRPr="008401AD" w:rsidRDefault="00EE79DA" w:rsidP="008401AD">
      <w:pPr>
        <w:numPr>
          <w:ilvl w:val="0"/>
          <w:numId w:val="5"/>
        </w:numPr>
        <w:spacing w:after="0"/>
        <w:rPr>
          <w:rFonts w:ascii="Arial" w:hAnsi="Arial" w:cs="Arial"/>
          <w:sz w:val="23"/>
          <w:szCs w:val="23"/>
        </w:rPr>
      </w:pPr>
      <w:r>
        <w:rPr>
          <w:rFonts w:ascii="Arial" w:hAnsi="Arial" w:cs="Arial"/>
          <w:sz w:val="23"/>
          <w:szCs w:val="23"/>
        </w:rPr>
        <w:t>E</w:t>
      </w:r>
      <w:r w:rsidR="008401AD" w:rsidRPr="008401AD">
        <w:rPr>
          <w:rFonts w:ascii="Arial" w:hAnsi="Arial" w:cs="Arial"/>
          <w:sz w:val="23"/>
          <w:szCs w:val="23"/>
        </w:rPr>
        <w:t xml:space="preserve">LCs can be formed among multiple MWAs, also knows as a Joint MWA </w:t>
      </w:r>
      <w:r>
        <w:rPr>
          <w:rFonts w:ascii="Arial" w:hAnsi="Arial" w:cs="Arial"/>
          <w:sz w:val="23"/>
          <w:szCs w:val="23"/>
        </w:rPr>
        <w:t>E</w:t>
      </w:r>
      <w:r w:rsidR="008401AD" w:rsidRPr="008401AD">
        <w:rPr>
          <w:rFonts w:ascii="Arial" w:hAnsi="Arial" w:cs="Arial"/>
          <w:sz w:val="23"/>
          <w:szCs w:val="23"/>
        </w:rPr>
        <w:t xml:space="preserve">LC. Joint MWA </w:t>
      </w:r>
      <w:r>
        <w:rPr>
          <w:rFonts w:ascii="Arial" w:hAnsi="Arial" w:cs="Arial"/>
          <w:sz w:val="23"/>
          <w:szCs w:val="23"/>
        </w:rPr>
        <w:t>E</w:t>
      </w:r>
      <w:r w:rsidR="008401AD" w:rsidRPr="008401AD">
        <w:rPr>
          <w:rFonts w:ascii="Arial" w:hAnsi="Arial" w:cs="Arial"/>
          <w:sz w:val="23"/>
          <w:szCs w:val="23"/>
        </w:rPr>
        <w:t xml:space="preserve">LCs are a collaborative effort between two or more MWAs with an expectation of shared responsibility. </w:t>
      </w:r>
    </w:p>
    <w:p w14:paraId="20704BB1" w14:textId="34FDDD07" w:rsidR="008401AD" w:rsidRPr="008401AD" w:rsidRDefault="008401AD" w:rsidP="008401AD">
      <w:pPr>
        <w:numPr>
          <w:ilvl w:val="0"/>
          <w:numId w:val="5"/>
        </w:numPr>
        <w:spacing w:after="0"/>
        <w:rPr>
          <w:rFonts w:ascii="Arial" w:hAnsi="Arial" w:cs="Arial"/>
          <w:sz w:val="23"/>
          <w:szCs w:val="23"/>
        </w:rPr>
      </w:pPr>
      <w:r w:rsidRPr="008401AD">
        <w:rPr>
          <w:rFonts w:ascii="Arial" w:hAnsi="Arial" w:cs="Arial"/>
          <w:sz w:val="23"/>
          <w:szCs w:val="23"/>
        </w:rPr>
        <w:lastRenderedPageBreak/>
        <w:t xml:space="preserve">To ensure </w:t>
      </w:r>
      <w:r w:rsidR="00144EC8">
        <w:rPr>
          <w:rFonts w:ascii="Arial" w:hAnsi="Arial" w:cs="Arial"/>
          <w:sz w:val="23"/>
          <w:szCs w:val="23"/>
        </w:rPr>
        <w:t>ongoing</w:t>
      </w:r>
      <w:r w:rsidRPr="008401AD">
        <w:rPr>
          <w:rFonts w:ascii="Arial" w:hAnsi="Arial" w:cs="Arial"/>
          <w:sz w:val="23"/>
          <w:szCs w:val="23"/>
        </w:rPr>
        <w:t xml:space="preserve"> collaboration and coordination of services, Michigan Works! Agencies (MWAs) </w:t>
      </w:r>
      <w:r w:rsidR="0071242B">
        <w:rPr>
          <w:rFonts w:ascii="Arial" w:hAnsi="Arial" w:cs="Arial"/>
          <w:sz w:val="23"/>
          <w:szCs w:val="23"/>
        </w:rPr>
        <w:t xml:space="preserve">must </w:t>
      </w:r>
      <w:r w:rsidRPr="008401AD">
        <w:rPr>
          <w:rFonts w:ascii="Arial" w:hAnsi="Arial" w:cs="Arial"/>
          <w:sz w:val="23"/>
          <w:szCs w:val="23"/>
        </w:rPr>
        <w:t>share the application with the local Michigan Economic Development Corporation (MEDC) Business Development Manager prior to submitting.</w:t>
      </w:r>
    </w:p>
    <w:bookmarkEnd w:id="9"/>
    <w:bookmarkEnd w:id="4"/>
    <w:p w14:paraId="47B284CB" w14:textId="77777777" w:rsidR="00523F99" w:rsidRPr="008401AD" w:rsidRDefault="00523F99" w:rsidP="00523F99">
      <w:pPr>
        <w:spacing w:after="0"/>
        <w:rPr>
          <w:rFonts w:ascii="Arial" w:hAnsi="Arial" w:cs="Arial"/>
          <w:sz w:val="23"/>
          <w:szCs w:val="23"/>
        </w:rPr>
      </w:pPr>
    </w:p>
    <w:p w14:paraId="6E915171" w14:textId="648E784F" w:rsidR="00F725A3" w:rsidRPr="008401AD" w:rsidRDefault="00B16EF8" w:rsidP="00F725A3">
      <w:pPr>
        <w:spacing w:after="0"/>
        <w:rPr>
          <w:rFonts w:ascii="Arial" w:hAnsi="Arial" w:cs="Arial"/>
          <w:sz w:val="23"/>
          <w:szCs w:val="23"/>
        </w:rPr>
      </w:pPr>
      <w:r w:rsidRPr="008401AD">
        <w:rPr>
          <w:rFonts w:ascii="Arial" w:hAnsi="Arial" w:cs="Arial"/>
          <w:sz w:val="23"/>
          <w:szCs w:val="23"/>
        </w:rPr>
        <w:t>The process to apply for a</w:t>
      </w:r>
      <w:r w:rsidR="000A73AC" w:rsidRPr="008401AD">
        <w:rPr>
          <w:rFonts w:ascii="Arial" w:hAnsi="Arial" w:cs="Arial"/>
          <w:sz w:val="23"/>
          <w:szCs w:val="23"/>
        </w:rPr>
        <w:t xml:space="preserve">n </w:t>
      </w:r>
      <w:r w:rsidR="00EE79DA">
        <w:rPr>
          <w:rFonts w:ascii="Arial" w:hAnsi="Arial" w:cs="Arial"/>
          <w:sz w:val="23"/>
          <w:szCs w:val="23"/>
        </w:rPr>
        <w:t>E</w:t>
      </w:r>
      <w:r w:rsidRPr="008401AD">
        <w:rPr>
          <w:rFonts w:ascii="Arial" w:hAnsi="Arial" w:cs="Arial"/>
          <w:sz w:val="23"/>
          <w:szCs w:val="23"/>
        </w:rPr>
        <w:t xml:space="preserve">LC award </w:t>
      </w:r>
      <w:r w:rsidR="005C09AE">
        <w:rPr>
          <w:rFonts w:ascii="Arial" w:hAnsi="Arial" w:cs="Arial"/>
          <w:sz w:val="23"/>
          <w:szCs w:val="23"/>
        </w:rPr>
        <w:t xml:space="preserve">will be </w:t>
      </w:r>
      <w:r w:rsidRPr="008401AD">
        <w:rPr>
          <w:rFonts w:ascii="Arial" w:hAnsi="Arial" w:cs="Arial"/>
          <w:sz w:val="23"/>
          <w:szCs w:val="23"/>
        </w:rPr>
        <w:t xml:space="preserve">available through </w:t>
      </w:r>
      <w:r w:rsidR="002E4451" w:rsidRPr="008401AD">
        <w:rPr>
          <w:rFonts w:ascii="Arial" w:hAnsi="Arial" w:cs="Arial"/>
          <w:sz w:val="23"/>
          <w:szCs w:val="23"/>
        </w:rPr>
        <w:t>the Work-Based Learning Online Management System (</w:t>
      </w:r>
      <w:r w:rsidRPr="008401AD">
        <w:rPr>
          <w:rFonts w:ascii="Arial" w:hAnsi="Arial" w:cs="Arial"/>
          <w:sz w:val="23"/>
          <w:szCs w:val="23"/>
        </w:rPr>
        <w:t>WBLOMS</w:t>
      </w:r>
      <w:r w:rsidR="002E4451" w:rsidRPr="008401AD">
        <w:rPr>
          <w:rFonts w:ascii="Arial" w:hAnsi="Arial" w:cs="Arial"/>
          <w:sz w:val="23"/>
          <w:szCs w:val="23"/>
        </w:rPr>
        <w:t>)</w:t>
      </w:r>
      <w:r w:rsidRPr="008401AD">
        <w:rPr>
          <w:rFonts w:ascii="Arial" w:hAnsi="Arial" w:cs="Arial"/>
          <w:sz w:val="23"/>
          <w:szCs w:val="23"/>
        </w:rPr>
        <w:t>.</w:t>
      </w:r>
      <w:r w:rsidR="002E4F81" w:rsidRPr="008401AD">
        <w:rPr>
          <w:rFonts w:ascii="Arial" w:hAnsi="Arial" w:cs="Arial"/>
          <w:sz w:val="23"/>
          <w:szCs w:val="23"/>
        </w:rPr>
        <w:t xml:space="preserve"> </w:t>
      </w:r>
      <w:r w:rsidR="00A4416A" w:rsidRPr="008401AD">
        <w:rPr>
          <w:rFonts w:ascii="Arial" w:hAnsi="Arial" w:cs="Arial"/>
          <w:sz w:val="23"/>
          <w:szCs w:val="23"/>
        </w:rPr>
        <w:t xml:space="preserve">A </w:t>
      </w:r>
      <w:r w:rsidRPr="008401AD">
        <w:rPr>
          <w:rFonts w:ascii="Arial" w:hAnsi="Arial" w:cs="Arial"/>
          <w:sz w:val="23"/>
          <w:szCs w:val="23"/>
        </w:rPr>
        <w:t xml:space="preserve">link to the portal </w:t>
      </w:r>
      <w:r w:rsidR="00A4416A" w:rsidRPr="008401AD">
        <w:rPr>
          <w:rFonts w:ascii="Arial" w:hAnsi="Arial" w:cs="Arial"/>
          <w:sz w:val="23"/>
          <w:szCs w:val="23"/>
        </w:rPr>
        <w:t>is</w:t>
      </w:r>
      <w:r w:rsidRPr="008401AD">
        <w:rPr>
          <w:rFonts w:ascii="Arial" w:hAnsi="Arial" w:cs="Arial"/>
          <w:sz w:val="23"/>
          <w:szCs w:val="23"/>
        </w:rPr>
        <w:t xml:space="preserve"> on the </w:t>
      </w:r>
      <w:r w:rsidR="00CA1827" w:rsidRPr="008401AD">
        <w:rPr>
          <w:rFonts w:ascii="Arial" w:hAnsi="Arial" w:cs="Arial"/>
          <w:sz w:val="23"/>
          <w:szCs w:val="23"/>
        </w:rPr>
        <w:t xml:space="preserve">Department of Labor and Economic Opportunity, Workforce Development (LEO-WD) </w:t>
      </w:r>
      <w:r w:rsidRPr="008401AD">
        <w:rPr>
          <w:rFonts w:ascii="Arial" w:hAnsi="Arial" w:cs="Arial"/>
          <w:sz w:val="23"/>
          <w:szCs w:val="23"/>
        </w:rPr>
        <w:t xml:space="preserve">Talent Fund website at </w:t>
      </w:r>
      <w:hyperlink r:id="rId11" w:history="1">
        <w:r w:rsidRPr="008401AD">
          <w:rPr>
            <w:rStyle w:val="Hyperlink"/>
            <w:rFonts w:ascii="Arial" w:hAnsi="Arial" w:cs="Arial"/>
            <w:sz w:val="23"/>
            <w:szCs w:val="23"/>
          </w:rPr>
          <w:t>michigan.gov/talentfund</w:t>
        </w:r>
      </w:hyperlink>
      <w:r w:rsidRPr="008401AD">
        <w:rPr>
          <w:rFonts w:ascii="Arial" w:hAnsi="Arial" w:cs="Arial"/>
          <w:sz w:val="23"/>
          <w:szCs w:val="23"/>
        </w:rPr>
        <w:t xml:space="preserve">.  </w:t>
      </w:r>
    </w:p>
    <w:p w14:paraId="4AF48F90" w14:textId="12DCE1CB" w:rsidR="00B16EF8" w:rsidRPr="008401AD" w:rsidRDefault="00B16EF8" w:rsidP="00114A01">
      <w:pPr>
        <w:spacing w:after="0"/>
        <w:rPr>
          <w:rFonts w:ascii="Arial" w:hAnsi="Arial" w:cs="Arial"/>
          <w:b/>
          <w:bCs/>
          <w:sz w:val="23"/>
          <w:szCs w:val="23"/>
        </w:rPr>
      </w:pPr>
    </w:p>
    <w:p w14:paraId="2B632822" w14:textId="20D8672A" w:rsidR="00B16EF8" w:rsidRPr="008401AD" w:rsidRDefault="00B16EF8" w:rsidP="00114A01">
      <w:pPr>
        <w:numPr>
          <w:ilvl w:val="0"/>
          <w:numId w:val="7"/>
        </w:numPr>
        <w:spacing w:after="0"/>
        <w:rPr>
          <w:rFonts w:ascii="Arial" w:hAnsi="Arial" w:cs="Arial"/>
          <w:sz w:val="23"/>
          <w:szCs w:val="23"/>
        </w:rPr>
      </w:pPr>
      <w:r w:rsidRPr="008401AD">
        <w:rPr>
          <w:rFonts w:ascii="Arial" w:hAnsi="Arial" w:cs="Arial"/>
          <w:sz w:val="23"/>
          <w:szCs w:val="23"/>
        </w:rPr>
        <w:t>The</w:t>
      </w:r>
      <w:r w:rsidR="00BC0AE1" w:rsidRPr="008401AD">
        <w:rPr>
          <w:rFonts w:ascii="Arial" w:hAnsi="Arial" w:cs="Arial"/>
          <w:sz w:val="23"/>
          <w:szCs w:val="23"/>
        </w:rPr>
        <w:t xml:space="preserve"> </w:t>
      </w:r>
      <w:r w:rsidR="00EE79DA">
        <w:rPr>
          <w:rFonts w:ascii="Arial" w:hAnsi="Arial" w:cs="Arial"/>
          <w:sz w:val="23"/>
          <w:szCs w:val="23"/>
        </w:rPr>
        <w:t>E</w:t>
      </w:r>
      <w:r w:rsidR="00BC0AE1" w:rsidRPr="008401AD">
        <w:rPr>
          <w:rFonts w:ascii="Arial" w:hAnsi="Arial" w:cs="Arial"/>
          <w:sz w:val="23"/>
          <w:szCs w:val="23"/>
        </w:rPr>
        <w:t>LC</w:t>
      </w:r>
      <w:r w:rsidRPr="008401AD">
        <w:rPr>
          <w:rFonts w:ascii="Arial" w:hAnsi="Arial" w:cs="Arial"/>
          <w:sz w:val="23"/>
          <w:szCs w:val="23"/>
        </w:rPr>
        <w:t xml:space="preserve"> application period opens </w:t>
      </w:r>
      <w:r w:rsidR="00F26A7A" w:rsidRPr="008401AD">
        <w:rPr>
          <w:rFonts w:ascii="Arial" w:hAnsi="Arial" w:cs="Arial"/>
          <w:sz w:val="23"/>
          <w:szCs w:val="23"/>
        </w:rPr>
        <w:t>March</w:t>
      </w:r>
      <w:r w:rsidR="00A4416A" w:rsidRPr="008401AD">
        <w:rPr>
          <w:rFonts w:ascii="Arial" w:hAnsi="Arial" w:cs="Arial"/>
          <w:sz w:val="23"/>
          <w:szCs w:val="23"/>
        </w:rPr>
        <w:t xml:space="preserve"> </w:t>
      </w:r>
      <w:r w:rsidR="00EB2026">
        <w:rPr>
          <w:rFonts w:ascii="Arial" w:hAnsi="Arial" w:cs="Arial"/>
          <w:sz w:val="23"/>
          <w:szCs w:val="23"/>
        </w:rPr>
        <w:t>2</w:t>
      </w:r>
      <w:r w:rsidR="00F26645">
        <w:rPr>
          <w:rFonts w:ascii="Arial" w:hAnsi="Arial" w:cs="Arial"/>
          <w:sz w:val="23"/>
          <w:szCs w:val="23"/>
        </w:rPr>
        <w:t>4</w:t>
      </w:r>
      <w:r w:rsidR="00EB2026">
        <w:rPr>
          <w:rFonts w:ascii="Arial" w:hAnsi="Arial" w:cs="Arial"/>
          <w:sz w:val="23"/>
          <w:szCs w:val="23"/>
        </w:rPr>
        <w:t xml:space="preserve">, </w:t>
      </w:r>
      <w:r w:rsidRPr="008401AD">
        <w:rPr>
          <w:rFonts w:ascii="Arial" w:hAnsi="Arial" w:cs="Arial"/>
          <w:sz w:val="23"/>
          <w:szCs w:val="23"/>
        </w:rPr>
        <w:t>202</w:t>
      </w:r>
      <w:r w:rsidR="00F26645">
        <w:rPr>
          <w:rFonts w:ascii="Arial" w:hAnsi="Arial" w:cs="Arial"/>
          <w:sz w:val="23"/>
          <w:szCs w:val="23"/>
        </w:rPr>
        <w:t>5</w:t>
      </w:r>
      <w:r w:rsidR="00D96444">
        <w:rPr>
          <w:rFonts w:ascii="Arial" w:hAnsi="Arial" w:cs="Arial"/>
          <w:sz w:val="23"/>
          <w:szCs w:val="23"/>
        </w:rPr>
        <w:t>.</w:t>
      </w:r>
    </w:p>
    <w:p w14:paraId="3396D6E7" w14:textId="2F581BB7" w:rsidR="00177EF7" w:rsidRDefault="004137FB" w:rsidP="00BC0AE1">
      <w:pPr>
        <w:pStyle w:val="ListParagraph"/>
        <w:numPr>
          <w:ilvl w:val="0"/>
          <w:numId w:val="7"/>
        </w:numPr>
        <w:rPr>
          <w:rFonts w:ascii="Arial" w:hAnsi="Arial" w:cs="Arial"/>
          <w:sz w:val="23"/>
          <w:szCs w:val="23"/>
        </w:rPr>
      </w:pPr>
      <w:r>
        <w:rPr>
          <w:rFonts w:ascii="Arial" w:hAnsi="Arial" w:cs="Arial"/>
          <w:sz w:val="23"/>
          <w:szCs w:val="23"/>
        </w:rPr>
        <w:t xml:space="preserve">ELC applications are accepted until available funds are exhausted. A final deadline will be communicated when the ELC window is nearly closed. </w:t>
      </w:r>
    </w:p>
    <w:p w14:paraId="244024B1" w14:textId="25747BCA" w:rsidR="004137FB" w:rsidRPr="008401AD" w:rsidRDefault="00696A16" w:rsidP="00BC0AE1">
      <w:pPr>
        <w:pStyle w:val="ListParagraph"/>
        <w:numPr>
          <w:ilvl w:val="0"/>
          <w:numId w:val="7"/>
        </w:numPr>
        <w:rPr>
          <w:rFonts w:ascii="Arial" w:hAnsi="Arial" w:cs="Arial"/>
          <w:sz w:val="23"/>
          <w:szCs w:val="23"/>
        </w:rPr>
      </w:pPr>
      <w:r w:rsidRPr="00696A16">
        <w:rPr>
          <w:rFonts w:ascii="Arial" w:hAnsi="Arial" w:cs="Arial"/>
          <w:sz w:val="23"/>
          <w:szCs w:val="23"/>
        </w:rPr>
        <w:t>ELC applications will not be considered for an award until all participating employers have cleared any outstanding Treasury obligations. Once a</w:t>
      </w:r>
      <w:r>
        <w:rPr>
          <w:rFonts w:ascii="Arial" w:hAnsi="Arial" w:cs="Arial"/>
          <w:sz w:val="23"/>
          <w:szCs w:val="23"/>
        </w:rPr>
        <w:t>ll</w:t>
      </w:r>
      <w:r w:rsidR="007B014B">
        <w:rPr>
          <w:rFonts w:ascii="Arial" w:hAnsi="Arial" w:cs="Arial"/>
          <w:sz w:val="23"/>
          <w:szCs w:val="23"/>
        </w:rPr>
        <w:t xml:space="preserve"> outstandi</w:t>
      </w:r>
      <w:r w:rsidRPr="00696A16">
        <w:rPr>
          <w:rFonts w:ascii="Arial" w:hAnsi="Arial" w:cs="Arial"/>
          <w:sz w:val="23"/>
          <w:szCs w:val="23"/>
        </w:rPr>
        <w:t xml:space="preserve">ng obligations </w:t>
      </w:r>
      <w:r w:rsidR="007B014B">
        <w:rPr>
          <w:rFonts w:ascii="Arial" w:hAnsi="Arial" w:cs="Arial"/>
          <w:sz w:val="23"/>
          <w:szCs w:val="23"/>
        </w:rPr>
        <w:t>have been</w:t>
      </w:r>
      <w:r w:rsidRPr="00696A16">
        <w:rPr>
          <w:rFonts w:ascii="Arial" w:hAnsi="Arial" w:cs="Arial"/>
          <w:sz w:val="23"/>
          <w:szCs w:val="23"/>
        </w:rPr>
        <w:t xml:space="preserve"> cleared, the ELC will then be considered for an award based on the date the obligation</w:t>
      </w:r>
      <w:r w:rsidR="007B014B">
        <w:rPr>
          <w:rFonts w:ascii="Arial" w:hAnsi="Arial" w:cs="Arial"/>
          <w:sz w:val="23"/>
          <w:szCs w:val="23"/>
        </w:rPr>
        <w:t>(s)</w:t>
      </w:r>
      <w:r w:rsidRPr="00696A16">
        <w:rPr>
          <w:rFonts w:ascii="Arial" w:hAnsi="Arial" w:cs="Arial"/>
          <w:sz w:val="23"/>
          <w:szCs w:val="23"/>
        </w:rPr>
        <w:t xml:space="preserve"> w</w:t>
      </w:r>
      <w:r w:rsidR="007B014B">
        <w:rPr>
          <w:rFonts w:ascii="Arial" w:hAnsi="Arial" w:cs="Arial"/>
          <w:sz w:val="23"/>
          <w:szCs w:val="23"/>
        </w:rPr>
        <w:t>ere</w:t>
      </w:r>
      <w:r w:rsidRPr="00696A16">
        <w:rPr>
          <w:rFonts w:ascii="Arial" w:hAnsi="Arial" w:cs="Arial"/>
          <w:sz w:val="23"/>
          <w:szCs w:val="23"/>
        </w:rPr>
        <w:t xml:space="preserve"> cleared. </w:t>
      </w:r>
    </w:p>
    <w:tbl>
      <w:tblPr>
        <w:tblStyle w:val="TableGrid"/>
        <w:tblW w:w="9360" w:type="dxa"/>
        <w:tblInd w:w="-5" w:type="dxa"/>
        <w:tblLook w:val="04A0" w:firstRow="1" w:lastRow="0" w:firstColumn="1" w:lastColumn="0" w:noHBand="0" w:noVBand="1"/>
      </w:tblPr>
      <w:tblGrid>
        <w:gridCol w:w="7797"/>
        <w:gridCol w:w="1563"/>
      </w:tblGrid>
      <w:tr w:rsidR="00E17043" w14:paraId="36569A0C" w14:textId="77777777" w:rsidTr="00D71A84">
        <w:trPr>
          <w:trHeight w:val="458"/>
        </w:trPr>
        <w:tc>
          <w:tcPr>
            <w:tcW w:w="7797" w:type="dxa"/>
            <w:shd w:val="clear" w:color="auto" w:fill="003E51"/>
          </w:tcPr>
          <w:p w14:paraId="4F5BD030" w14:textId="1CDAEE23" w:rsidR="00E17043" w:rsidRPr="00991D0D" w:rsidRDefault="00BF0E13" w:rsidP="00991D0D">
            <w:pPr>
              <w:rPr>
                <w:rFonts w:ascii="Arial" w:eastAsia="Calibri" w:hAnsi="Arial" w:cs="Arial"/>
                <w:b/>
                <w:sz w:val="24"/>
                <w:szCs w:val="24"/>
              </w:rPr>
            </w:pPr>
            <w:r>
              <w:rPr>
                <w:rFonts w:ascii="Arial" w:eastAsia="Calibri" w:hAnsi="Arial" w:cs="Arial"/>
                <w:b/>
                <w:sz w:val="24"/>
                <w:szCs w:val="24"/>
              </w:rPr>
              <w:t>FY2</w:t>
            </w:r>
            <w:r w:rsidR="00DE21AC">
              <w:rPr>
                <w:rFonts w:ascii="Arial" w:eastAsia="Calibri" w:hAnsi="Arial" w:cs="Arial"/>
                <w:b/>
                <w:sz w:val="24"/>
                <w:szCs w:val="24"/>
              </w:rPr>
              <w:t>5</w:t>
            </w:r>
            <w:r>
              <w:rPr>
                <w:rFonts w:ascii="Arial" w:eastAsia="Calibri" w:hAnsi="Arial" w:cs="Arial"/>
                <w:b/>
                <w:sz w:val="24"/>
                <w:szCs w:val="24"/>
              </w:rPr>
              <w:t xml:space="preserve"> </w:t>
            </w:r>
            <w:r w:rsidR="003A30AA">
              <w:rPr>
                <w:rFonts w:ascii="Arial" w:eastAsia="Calibri" w:hAnsi="Arial" w:cs="Arial"/>
                <w:b/>
                <w:sz w:val="24"/>
                <w:szCs w:val="24"/>
              </w:rPr>
              <w:t xml:space="preserve">Going PRO Talent Fund </w:t>
            </w:r>
            <w:r w:rsidR="00D96444">
              <w:rPr>
                <w:rFonts w:ascii="Arial" w:eastAsia="Calibri" w:hAnsi="Arial" w:cs="Arial"/>
                <w:b/>
                <w:sz w:val="24"/>
                <w:szCs w:val="24"/>
              </w:rPr>
              <w:t>E</w:t>
            </w:r>
            <w:r>
              <w:rPr>
                <w:rFonts w:ascii="Arial" w:eastAsia="Calibri" w:hAnsi="Arial" w:cs="Arial"/>
                <w:b/>
                <w:sz w:val="24"/>
                <w:szCs w:val="24"/>
              </w:rPr>
              <w:t xml:space="preserve">LC </w:t>
            </w:r>
            <w:r w:rsidR="00E17043" w:rsidRPr="00991D0D">
              <w:rPr>
                <w:rFonts w:ascii="Arial" w:eastAsia="Calibri" w:hAnsi="Arial" w:cs="Arial"/>
                <w:b/>
                <w:sz w:val="24"/>
                <w:szCs w:val="24"/>
              </w:rPr>
              <w:t>Scoring Criteria</w:t>
            </w:r>
          </w:p>
        </w:tc>
        <w:tc>
          <w:tcPr>
            <w:tcW w:w="1563" w:type="dxa"/>
            <w:shd w:val="clear" w:color="auto" w:fill="003E51"/>
          </w:tcPr>
          <w:p w14:paraId="104EB3DB" w14:textId="77777777" w:rsidR="00E17043" w:rsidRPr="00991D0D" w:rsidRDefault="00E17043" w:rsidP="00991D0D">
            <w:pPr>
              <w:rPr>
                <w:rFonts w:ascii="Arial" w:eastAsia="Calibri" w:hAnsi="Arial" w:cs="Arial"/>
                <w:b/>
                <w:sz w:val="24"/>
                <w:szCs w:val="24"/>
              </w:rPr>
            </w:pPr>
            <w:r w:rsidRPr="00991D0D">
              <w:rPr>
                <w:rFonts w:ascii="Arial" w:eastAsia="Calibri" w:hAnsi="Arial" w:cs="Arial"/>
                <w:b/>
                <w:sz w:val="24"/>
                <w:szCs w:val="24"/>
              </w:rPr>
              <w:t>Points</w:t>
            </w:r>
          </w:p>
        </w:tc>
      </w:tr>
      <w:tr w:rsidR="00E17043" w14:paraId="329D4A48" w14:textId="77777777" w:rsidTr="00D71A84">
        <w:tc>
          <w:tcPr>
            <w:tcW w:w="7797" w:type="dxa"/>
          </w:tcPr>
          <w:p w14:paraId="142314D8" w14:textId="77777777" w:rsidR="00E17043" w:rsidRPr="008401AD" w:rsidRDefault="00E17043" w:rsidP="00070719">
            <w:pPr>
              <w:rPr>
                <w:rFonts w:ascii="Arial" w:hAnsi="Arial" w:cs="Arial"/>
                <w:sz w:val="23"/>
                <w:szCs w:val="23"/>
              </w:rPr>
            </w:pPr>
            <w:r w:rsidRPr="008401AD">
              <w:rPr>
                <w:rFonts w:ascii="Arial" w:hAnsi="Arial" w:cs="Arial"/>
                <w:sz w:val="23"/>
                <w:szCs w:val="23"/>
              </w:rPr>
              <w:t xml:space="preserve">Statement of Collaboration – how business and partners came together, purpose, goals, training need/business case, tie-in to training.      </w:t>
            </w:r>
          </w:p>
          <w:p w14:paraId="20E36203" w14:textId="77777777" w:rsidR="00E17043" w:rsidRPr="008401AD" w:rsidRDefault="00E17043" w:rsidP="00070719">
            <w:pPr>
              <w:rPr>
                <w:rFonts w:ascii="Arial" w:hAnsi="Arial" w:cs="Arial"/>
                <w:sz w:val="23"/>
                <w:szCs w:val="23"/>
              </w:rPr>
            </w:pPr>
            <w:r w:rsidRPr="008401AD">
              <w:rPr>
                <w:rFonts w:ascii="Arial" w:hAnsi="Arial" w:cs="Arial"/>
                <w:sz w:val="23"/>
                <w:szCs w:val="23"/>
              </w:rPr>
              <w:t xml:space="preserve">                      </w:t>
            </w:r>
          </w:p>
        </w:tc>
        <w:tc>
          <w:tcPr>
            <w:tcW w:w="1563" w:type="dxa"/>
          </w:tcPr>
          <w:p w14:paraId="4E33C1C4" w14:textId="16CF6432" w:rsidR="00E17043" w:rsidRPr="008401AD" w:rsidRDefault="00E17043" w:rsidP="004822D1">
            <w:pPr>
              <w:jc w:val="center"/>
              <w:rPr>
                <w:rFonts w:ascii="Arial" w:hAnsi="Arial" w:cs="Arial"/>
                <w:sz w:val="23"/>
                <w:szCs w:val="23"/>
                <w:highlight w:val="yellow"/>
              </w:rPr>
            </w:pPr>
            <w:r w:rsidRPr="008401AD">
              <w:rPr>
                <w:rFonts w:ascii="Arial" w:hAnsi="Arial" w:cs="Arial"/>
                <w:sz w:val="23"/>
                <w:szCs w:val="23"/>
              </w:rPr>
              <w:t xml:space="preserve">Up to </w:t>
            </w:r>
            <w:r w:rsidR="005B446A" w:rsidRPr="008401AD">
              <w:rPr>
                <w:rFonts w:ascii="Arial" w:hAnsi="Arial" w:cs="Arial"/>
                <w:sz w:val="23"/>
                <w:szCs w:val="23"/>
              </w:rPr>
              <w:t>3</w:t>
            </w:r>
            <w:r w:rsidRPr="008401AD">
              <w:rPr>
                <w:rFonts w:ascii="Arial" w:hAnsi="Arial" w:cs="Arial"/>
                <w:sz w:val="23"/>
                <w:szCs w:val="23"/>
              </w:rPr>
              <w:t>0</w:t>
            </w:r>
          </w:p>
        </w:tc>
      </w:tr>
      <w:tr w:rsidR="005B446A" w14:paraId="4E4B7440" w14:textId="77777777" w:rsidTr="00D71A84">
        <w:tc>
          <w:tcPr>
            <w:tcW w:w="7797" w:type="dxa"/>
          </w:tcPr>
          <w:p w14:paraId="456A6637" w14:textId="1D9EE517" w:rsidR="005B446A" w:rsidRPr="008401AD" w:rsidRDefault="005B446A" w:rsidP="005B446A">
            <w:pPr>
              <w:rPr>
                <w:rFonts w:ascii="Arial" w:hAnsi="Arial" w:cs="Arial"/>
                <w:sz w:val="23"/>
                <w:szCs w:val="23"/>
              </w:rPr>
            </w:pPr>
            <w:r w:rsidRPr="008401AD">
              <w:rPr>
                <w:rFonts w:ascii="Arial" w:hAnsi="Arial" w:cs="Arial"/>
                <w:sz w:val="23"/>
                <w:szCs w:val="23"/>
              </w:rPr>
              <w:t xml:space="preserve">Application includes </w:t>
            </w:r>
            <w:r w:rsidR="0061641C">
              <w:rPr>
                <w:rFonts w:ascii="Arial" w:hAnsi="Arial" w:cs="Arial"/>
                <w:sz w:val="23"/>
                <w:szCs w:val="23"/>
              </w:rPr>
              <w:t>four</w:t>
            </w:r>
            <w:r w:rsidRPr="008401AD">
              <w:rPr>
                <w:rFonts w:ascii="Arial" w:hAnsi="Arial" w:cs="Arial"/>
                <w:sz w:val="23"/>
                <w:szCs w:val="23"/>
              </w:rPr>
              <w:t xml:space="preserve"> or more employer partners.</w:t>
            </w:r>
          </w:p>
          <w:p w14:paraId="23F7A8E1" w14:textId="77777777" w:rsidR="005B446A" w:rsidRPr="008401AD" w:rsidRDefault="005B446A" w:rsidP="005B446A">
            <w:pPr>
              <w:rPr>
                <w:rFonts w:ascii="Arial" w:hAnsi="Arial" w:cs="Arial"/>
                <w:sz w:val="23"/>
                <w:szCs w:val="23"/>
              </w:rPr>
            </w:pPr>
          </w:p>
        </w:tc>
        <w:tc>
          <w:tcPr>
            <w:tcW w:w="1563" w:type="dxa"/>
          </w:tcPr>
          <w:p w14:paraId="6F168724" w14:textId="11AFC5FC" w:rsidR="005B446A" w:rsidRPr="008401AD" w:rsidRDefault="0061641C" w:rsidP="005B446A">
            <w:pPr>
              <w:jc w:val="center"/>
              <w:rPr>
                <w:rFonts w:ascii="Arial" w:hAnsi="Arial" w:cs="Arial"/>
                <w:sz w:val="23"/>
                <w:szCs w:val="23"/>
                <w:highlight w:val="yellow"/>
              </w:rPr>
            </w:pPr>
            <w:r w:rsidRPr="0061641C">
              <w:rPr>
                <w:rFonts w:ascii="Arial" w:hAnsi="Arial" w:cs="Arial"/>
                <w:sz w:val="23"/>
                <w:szCs w:val="23"/>
              </w:rPr>
              <w:t>3</w:t>
            </w:r>
          </w:p>
        </w:tc>
      </w:tr>
      <w:tr w:rsidR="005B446A" w14:paraId="241A8351" w14:textId="77777777" w:rsidTr="00D71A84">
        <w:tc>
          <w:tcPr>
            <w:tcW w:w="7797" w:type="dxa"/>
          </w:tcPr>
          <w:p w14:paraId="027664AD" w14:textId="24426128" w:rsidR="005B446A" w:rsidRPr="008401AD" w:rsidRDefault="0078007A" w:rsidP="005B446A">
            <w:pPr>
              <w:rPr>
                <w:rFonts w:ascii="Arial" w:hAnsi="Arial" w:cs="Arial"/>
                <w:sz w:val="23"/>
                <w:szCs w:val="23"/>
              </w:rPr>
            </w:pPr>
            <w:r w:rsidRPr="008401AD">
              <w:rPr>
                <w:rFonts w:ascii="Arial" w:hAnsi="Arial" w:cs="Arial"/>
                <w:sz w:val="23"/>
                <w:szCs w:val="23"/>
              </w:rPr>
              <w:t>Application includes one or more employer partners from a High Priority Industry Sector</w:t>
            </w:r>
            <w:r w:rsidR="0071242B">
              <w:rPr>
                <w:rFonts w:ascii="Arial" w:hAnsi="Arial" w:cs="Arial"/>
                <w:sz w:val="23"/>
                <w:szCs w:val="23"/>
              </w:rPr>
              <w:t>.</w:t>
            </w:r>
          </w:p>
        </w:tc>
        <w:tc>
          <w:tcPr>
            <w:tcW w:w="1563" w:type="dxa"/>
          </w:tcPr>
          <w:p w14:paraId="1300E33E" w14:textId="32A2A9AD" w:rsidR="005B446A" w:rsidRPr="008401AD" w:rsidRDefault="004F5292" w:rsidP="005B446A">
            <w:pPr>
              <w:jc w:val="center"/>
              <w:rPr>
                <w:rFonts w:ascii="Arial" w:hAnsi="Arial" w:cs="Arial"/>
                <w:sz w:val="23"/>
                <w:szCs w:val="23"/>
                <w:highlight w:val="yellow"/>
              </w:rPr>
            </w:pPr>
            <w:r w:rsidRPr="00A651AC">
              <w:rPr>
                <w:rFonts w:ascii="Arial" w:hAnsi="Arial" w:cs="Arial"/>
                <w:sz w:val="23"/>
                <w:szCs w:val="23"/>
              </w:rPr>
              <w:t>4</w:t>
            </w:r>
          </w:p>
        </w:tc>
      </w:tr>
      <w:tr w:rsidR="0061641C" w14:paraId="0C8545AB" w14:textId="77777777" w:rsidTr="00D71A84">
        <w:tc>
          <w:tcPr>
            <w:tcW w:w="7797" w:type="dxa"/>
          </w:tcPr>
          <w:p w14:paraId="2A1D32EC" w14:textId="23B0956D" w:rsidR="0061641C" w:rsidRPr="008401AD" w:rsidRDefault="0061641C" w:rsidP="005B446A">
            <w:pPr>
              <w:rPr>
                <w:rFonts w:ascii="Arial" w:hAnsi="Arial" w:cs="Arial"/>
                <w:bCs/>
                <w:sz w:val="23"/>
                <w:szCs w:val="23"/>
              </w:rPr>
            </w:pPr>
            <w:r w:rsidRPr="0061641C">
              <w:rPr>
                <w:rFonts w:ascii="Arial" w:hAnsi="Arial" w:cs="Arial"/>
                <w:bCs/>
                <w:sz w:val="23"/>
                <w:szCs w:val="23"/>
              </w:rPr>
              <w:t>Application includes one</w:t>
            </w:r>
            <w:r>
              <w:rPr>
                <w:rFonts w:ascii="Arial" w:hAnsi="Arial" w:cs="Arial"/>
                <w:bCs/>
                <w:sz w:val="23"/>
                <w:szCs w:val="23"/>
              </w:rPr>
              <w:t xml:space="preserve"> </w:t>
            </w:r>
            <w:r w:rsidRPr="0061641C">
              <w:rPr>
                <w:rFonts w:ascii="Arial" w:hAnsi="Arial" w:cs="Arial"/>
                <w:bCs/>
                <w:sz w:val="23"/>
                <w:szCs w:val="23"/>
              </w:rPr>
              <w:t>or more employer partners with training directly applicable to Electric Vehicles (EV), Mobility, or related infrastructure.</w:t>
            </w:r>
          </w:p>
        </w:tc>
        <w:tc>
          <w:tcPr>
            <w:tcW w:w="1563" w:type="dxa"/>
          </w:tcPr>
          <w:p w14:paraId="3D374600" w14:textId="264458CE" w:rsidR="0061641C" w:rsidRDefault="0061641C" w:rsidP="005B446A">
            <w:pPr>
              <w:jc w:val="center"/>
              <w:rPr>
                <w:rFonts w:ascii="Arial" w:hAnsi="Arial" w:cs="Arial"/>
                <w:sz w:val="23"/>
                <w:szCs w:val="23"/>
              </w:rPr>
            </w:pPr>
            <w:r>
              <w:rPr>
                <w:rFonts w:ascii="Arial" w:hAnsi="Arial" w:cs="Arial"/>
                <w:sz w:val="23"/>
                <w:szCs w:val="23"/>
              </w:rPr>
              <w:t>1</w:t>
            </w:r>
          </w:p>
        </w:tc>
      </w:tr>
      <w:tr w:rsidR="0061641C" w14:paraId="6F6B1631" w14:textId="77777777" w:rsidTr="00D71A84">
        <w:tc>
          <w:tcPr>
            <w:tcW w:w="7797" w:type="dxa"/>
          </w:tcPr>
          <w:p w14:paraId="4791E25D" w14:textId="70A05907" w:rsidR="0061641C" w:rsidRPr="008401AD" w:rsidRDefault="0061641C" w:rsidP="005B446A">
            <w:pPr>
              <w:rPr>
                <w:rFonts w:ascii="Arial" w:hAnsi="Arial" w:cs="Arial"/>
                <w:bCs/>
                <w:sz w:val="23"/>
                <w:szCs w:val="23"/>
              </w:rPr>
            </w:pPr>
            <w:r w:rsidRPr="0061641C">
              <w:rPr>
                <w:rFonts w:ascii="Arial" w:hAnsi="Arial" w:cs="Arial"/>
                <w:bCs/>
                <w:sz w:val="23"/>
                <w:szCs w:val="23"/>
              </w:rPr>
              <w:t>Application includes one</w:t>
            </w:r>
            <w:r>
              <w:rPr>
                <w:rFonts w:ascii="Arial" w:hAnsi="Arial" w:cs="Arial"/>
                <w:bCs/>
                <w:sz w:val="23"/>
                <w:szCs w:val="23"/>
              </w:rPr>
              <w:t xml:space="preserve"> </w:t>
            </w:r>
            <w:r w:rsidRPr="0061641C">
              <w:rPr>
                <w:rFonts w:ascii="Arial" w:hAnsi="Arial" w:cs="Arial"/>
                <w:bCs/>
                <w:sz w:val="23"/>
                <w:szCs w:val="23"/>
              </w:rPr>
              <w:t>or more employer partners with training directly applicable to increasing household access to high-speed internet.</w:t>
            </w:r>
          </w:p>
        </w:tc>
        <w:tc>
          <w:tcPr>
            <w:tcW w:w="1563" w:type="dxa"/>
          </w:tcPr>
          <w:p w14:paraId="42A5D863" w14:textId="3449F6A5" w:rsidR="0061641C" w:rsidRDefault="0061641C" w:rsidP="005B446A">
            <w:pPr>
              <w:jc w:val="center"/>
              <w:rPr>
                <w:rFonts w:ascii="Arial" w:hAnsi="Arial" w:cs="Arial"/>
                <w:sz w:val="23"/>
                <w:szCs w:val="23"/>
              </w:rPr>
            </w:pPr>
            <w:r>
              <w:rPr>
                <w:rFonts w:ascii="Arial" w:hAnsi="Arial" w:cs="Arial"/>
                <w:sz w:val="23"/>
                <w:szCs w:val="23"/>
              </w:rPr>
              <w:t>1</w:t>
            </w:r>
          </w:p>
        </w:tc>
      </w:tr>
      <w:tr w:rsidR="0061641C" w14:paraId="7A22B7C1" w14:textId="77777777" w:rsidTr="00D71A84">
        <w:tc>
          <w:tcPr>
            <w:tcW w:w="7797" w:type="dxa"/>
          </w:tcPr>
          <w:p w14:paraId="1E18D0DF" w14:textId="586C66A0" w:rsidR="0061641C" w:rsidRPr="008401AD" w:rsidRDefault="0061641C" w:rsidP="005B446A">
            <w:pPr>
              <w:rPr>
                <w:rFonts w:ascii="Arial" w:hAnsi="Arial" w:cs="Arial"/>
                <w:bCs/>
                <w:sz w:val="23"/>
                <w:szCs w:val="23"/>
              </w:rPr>
            </w:pPr>
            <w:r w:rsidRPr="0061641C">
              <w:rPr>
                <w:rFonts w:ascii="Arial" w:hAnsi="Arial" w:cs="Arial"/>
                <w:bCs/>
                <w:sz w:val="23"/>
                <w:szCs w:val="23"/>
              </w:rPr>
              <w:t>Application includes one or more employer partners with training directly applicable to creating or preserving affordable housing units.</w:t>
            </w:r>
          </w:p>
        </w:tc>
        <w:tc>
          <w:tcPr>
            <w:tcW w:w="1563" w:type="dxa"/>
          </w:tcPr>
          <w:p w14:paraId="3911C797" w14:textId="6D601E44" w:rsidR="0061641C" w:rsidRDefault="00DE21AC" w:rsidP="005B446A">
            <w:pPr>
              <w:jc w:val="center"/>
              <w:rPr>
                <w:rFonts w:ascii="Arial" w:hAnsi="Arial" w:cs="Arial"/>
                <w:sz w:val="23"/>
                <w:szCs w:val="23"/>
              </w:rPr>
            </w:pPr>
            <w:r>
              <w:rPr>
                <w:rFonts w:ascii="Arial" w:hAnsi="Arial" w:cs="Arial"/>
                <w:sz w:val="23"/>
                <w:szCs w:val="23"/>
              </w:rPr>
              <w:t>1</w:t>
            </w:r>
          </w:p>
        </w:tc>
      </w:tr>
      <w:tr w:rsidR="00DE21AC" w14:paraId="169A4D80" w14:textId="77777777" w:rsidTr="00D71A84">
        <w:tc>
          <w:tcPr>
            <w:tcW w:w="7797" w:type="dxa"/>
          </w:tcPr>
          <w:p w14:paraId="7DD990AF" w14:textId="77777777" w:rsidR="00DE21AC" w:rsidRDefault="00DE21AC" w:rsidP="00DE21AC">
            <w:pPr>
              <w:rPr>
                <w:rFonts w:ascii="Arial" w:hAnsi="Arial" w:cs="Arial"/>
                <w:bCs/>
                <w:sz w:val="23"/>
                <w:szCs w:val="23"/>
              </w:rPr>
            </w:pPr>
            <w:r w:rsidRPr="00391856">
              <w:rPr>
                <w:rFonts w:ascii="Arial" w:hAnsi="Arial" w:cs="Arial"/>
                <w:bCs/>
                <w:sz w:val="23"/>
                <w:szCs w:val="23"/>
              </w:rPr>
              <w:t xml:space="preserve">Application includes training in partnership with a community college, university, or a </w:t>
            </w:r>
            <w:r>
              <w:rPr>
                <w:rFonts w:ascii="Arial" w:hAnsi="Arial" w:cs="Arial"/>
                <w:bCs/>
                <w:sz w:val="23"/>
                <w:szCs w:val="23"/>
              </w:rPr>
              <w:t>3</w:t>
            </w:r>
            <w:r w:rsidRPr="000101DC">
              <w:rPr>
                <w:rFonts w:ascii="Arial" w:hAnsi="Arial" w:cs="Arial"/>
                <w:bCs/>
                <w:sz w:val="23"/>
                <w:szCs w:val="23"/>
                <w:vertAlign w:val="superscript"/>
              </w:rPr>
              <w:t>rd</w:t>
            </w:r>
            <w:r w:rsidRPr="00391856">
              <w:rPr>
                <w:rFonts w:ascii="Arial" w:hAnsi="Arial" w:cs="Arial"/>
                <w:bCs/>
                <w:sz w:val="23"/>
                <w:szCs w:val="23"/>
              </w:rPr>
              <w:t xml:space="preserve"> party (as defined).</w:t>
            </w:r>
          </w:p>
          <w:p w14:paraId="1E907805" w14:textId="77777777" w:rsidR="00DE21AC" w:rsidRPr="00391856" w:rsidRDefault="00DE21AC" w:rsidP="00DE21AC">
            <w:pPr>
              <w:rPr>
                <w:rFonts w:ascii="Arial" w:hAnsi="Arial" w:cs="Arial"/>
                <w:bCs/>
                <w:sz w:val="23"/>
                <w:szCs w:val="23"/>
              </w:rPr>
            </w:pPr>
          </w:p>
          <w:p w14:paraId="275927C4" w14:textId="00AA3D14" w:rsidR="00DE21AC" w:rsidRPr="00391856" w:rsidRDefault="00DE21AC" w:rsidP="00DE21AC">
            <w:pPr>
              <w:rPr>
                <w:rFonts w:ascii="Arial" w:hAnsi="Arial" w:cs="Arial"/>
                <w:bCs/>
                <w:sz w:val="23"/>
                <w:szCs w:val="23"/>
              </w:rPr>
            </w:pPr>
            <w:r w:rsidRPr="00391856">
              <w:rPr>
                <w:rFonts w:ascii="Arial" w:hAnsi="Arial" w:cs="Arial"/>
                <w:bCs/>
                <w:sz w:val="23"/>
                <w:szCs w:val="23"/>
              </w:rPr>
              <w:t xml:space="preserve">1) To earn </w:t>
            </w:r>
            <w:r>
              <w:rPr>
                <w:rFonts w:ascii="Arial" w:hAnsi="Arial" w:cs="Arial"/>
                <w:bCs/>
                <w:sz w:val="23"/>
                <w:szCs w:val="23"/>
              </w:rPr>
              <w:t>4</w:t>
            </w:r>
            <w:r w:rsidRPr="00391856">
              <w:rPr>
                <w:rFonts w:ascii="Arial" w:hAnsi="Arial" w:cs="Arial"/>
                <w:bCs/>
                <w:sz w:val="23"/>
                <w:szCs w:val="23"/>
              </w:rPr>
              <w:t xml:space="preserve"> points, a minimum of one course that results in earned</w:t>
            </w:r>
            <w:r>
              <w:rPr>
                <w:rFonts w:ascii="Arial" w:hAnsi="Arial" w:cs="Arial"/>
                <w:bCs/>
                <w:sz w:val="23"/>
                <w:szCs w:val="23"/>
              </w:rPr>
              <w:t xml:space="preserve"> </w:t>
            </w:r>
            <w:r w:rsidRPr="00391856">
              <w:rPr>
                <w:rFonts w:ascii="Arial" w:hAnsi="Arial" w:cs="Arial"/>
                <w:bCs/>
                <w:sz w:val="23"/>
                <w:szCs w:val="23"/>
              </w:rPr>
              <w:t>college credit.</w:t>
            </w:r>
          </w:p>
          <w:p w14:paraId="22575CC7" w14:textId="6D37E8C8" w:rsidR="00DE21AC" w:rsidRPr="00391856" w:rsidRDefault="00DE21AC" w:rsidP="00DE21AC">
            <w:pPr>
              <w:rPr>
                <w:rFonts w:ascii="Arial" w:hAnsi="Arial" w:cs="Arial"/>
                <w:bCs/>
                <w:sz w:val="23"/>
                <w:szCs w:val="23"/>
              </w:rPr>
            </w:pPr>
            <w:r w:rsidRPr="00391856">
              <w:rPr>
                <w:rFonts w:ascii="Arial" w:hAnsi="Arial" w:cs="Arial"/>
                <w:bCs/>
                <w:sz w:val="23"/>
                <w:szCs w:val="23"/>
              </w:rPr>
              <w:t>2)</w:t>
            </w:r>
            <w:r>
              <w:rPr>
                <w:rFonts w:ascii="Arial" w:hAnsi="Arial" w:cs="Arial"/>
                <w:bCs/>
                <w:sz w:val="23"/>
                <w:szCs w:val="23"/>
              </w:rPr>
              <w:t xml:space="preserve"> </w:t>
            </w:r>
            <w:r w:rsidRPr="00391856">
              <w:rPr>
                <w:rFonts w:ascii="Arial" w:hAnsi="Arial" w:cs="Arial"/>
                <w:bCs/>
                <w:sz w:val="23"/>
                <w:szCs w:val="23"/>
              </w:rPr>
              <w:t xml:space="preserve">To earn </w:t>
            </w:r>
            <w:r>
              <w:rPr>
                <w:rFonts w:ascii="Arial" w:hAnsi="Arial" w:cs="Arial"/>
                <w:bCs/>
                <w:sz w:val="23"/>
                <w:szCs w:val="23"/>
              </w:rPr>
              <w:t>2</w:t>
            </w:r>
            <w:r w:rsidRPr="00391856">
              <w:rPr>
                <w:rFonts w:ascii="Arial" w:hAnsi="Arial" w:cs="Arial"/>
                <w:bCs/>
                <w:sz w:val="23"/>
                <w:szCs w:val="23"/>
              </w:rPr>
              <w:t xml:space="preserve"> points, a minimum of one non-credit course provided by a community college, university, or </w:t>
            </w:r>
            <w:r>
              <w:rPr>
                <w:rFonts w:ascii="Arial" w:hAnsi="Arial" w:cs="Arial"/>
                <w:bCs/>
                <w:sz w:val="23"/>
                <w:szCs w:val="23"/>
              </w:rPr>
              <w:t>3</w:t>
            </w:r>
            <w:r w:rsidRPr="000101DC">
              <w:rPr>
                <w:rFonts w:ascii="Arial" w:hAnsi="Arial" w:cs="Arial"/>
                <w:bCs/>
                <w:sz w:val="23"/>
                <w:szCs w:val="23"/>
                <w:vertAlign w:val="superscript"/>
              </w:rPr>
              <w:t>rd</w:t>
            </w:r>
            <w:r w:rsidRPr="00391856">
              <w:rPr>
                <w:rFonts w:ascii="Arial" w:hAnsi="Arial" w:cs="Arial"/>
                <w:bCs/>
                <w:sz w:val="23"/>
                <w:szCs w:val="23"/>
              </w:rPr>
              <w:t xml:space="preserve"> party (as defined).</w:t>
            </w:r>
          </w:p>
          <w:p w14:paraId="0C8EF837" w14:textId="77777777" w:rsidR="00DE21AC" w:rsidRDefault="00DE21AC" w:rsidP="00DE21AC">
            <w:pPr>
              <w:rPr>
                <w:rFonts w:ascii="Arial" w:hAnsi="Arial" w:cs="Arial"/>
                <w:bCs/>
                <w:sz w:val="23"/>
                <w:szCs w:val="23"/>
              </w:rPr>
            </w:pPr>
          </w:p>
          <w:p w14:paraId="0A13662A" w14:textId="63D5191D" w:rsidR="00DE21AC" w:rsidRPr="008401AD" w:rsidRDefault="00DE21AC" w:rsidP="00DE21AC">
            <w:pPr>
              <w:rPr>
                <w:rFonts w:ascii="Arial" w:hAnsi="Arial" w:cs="Arial"/>
                <w:bCs/>
                <w:sz w:val="23"/>
                <w:szCs w:val="23"/>
              </w:rPr>
            </w:pPr>
            <w:r w:rsidRPr="00391856">
              <w:rPr>
                <w:rFonts w:ascii="Arial" w:hAnsi="Arial" w:cs="Arial"/>
                <w:bCs/>
                <w:sz w:val="23"/>
                <w:szCs w:val="23"/>
              </w:rPr>
              <w:t>Note: OJT does not score points and college credit must be conferred by the approved training provider recognized on the Talent Fund Training Plan.</w:t>
            </w:r>
          </w:p>
        </w:tc>
        <w:tc>
          <w:tcPr>
            <w:tcW w:w="1563" w:type="dxa"/>
          </w:tcPr>
          <w:p w14:paraId="2543016C" w14:textId="31764D44" w:rsidR="00DE21AC" w:rsidRDefault="00DE21AC" w:rsidP="005B446A">
            <w:pPr>
              <w:jc w:val="center"/>
              <w:rPr>
                <w:rFonts w:ascii="Arial" w:hAnsi="Arial" w:cs="Arial"/>
                <w:sz w:val="23"/>
                <w:szCs w:val="23"/>
              </w:rPr>
            </w:pPr>
            <w:r w:rsidRPr="008401AD">
              <w:rPr>
                <w:rFonts w:ascii="Arial" w:hAnsi="Arial" w:cs="Arial"/>
                <w:sz w:val="23"/>
                <w:szCs w:val="23"/>
              </w:rPr>
              <w:t xml:space="preserve">Up to </w:t>
            </w:r>
            <w:r>
              <w:rPr>
                <w:rFonts w:ascii="Arial" w:hAnsi="Arial" w:cs="Arial"/>
                <w:sz w:val="23"/>
                <w:szCs w:val="23"/>
              </w:rPr>
              <w:t>4</w:t>
            </w:r>
          </w:p>
        </w:tc>
      </w:tr>
      <w:tr w:rsidR="00DE21AC" w14:paraId="45A8A214" w14:textId="77777777" w:rsidTr="00D71A84">
        <w:tc>
          <w:tcPr>
            <w:tcW w:w="7797" w:type="dxa"/>
          </w:tcPr>
          <w:p w14:paraId="696B5CCA" w14:textId="6B94DFF5" w:rsidR="00DE21AC" w:rsidRDefault="00DE21AC" w:rsidP="005B446A">
            <w:pPr>
              <w:rPr>
                <w:rFonts w:ascii="Arial" w:hAnsi="Arial" w:cs="Arial"/>
              </w:rPr>
            </w:pPr>
            <w:r>
              <w:rPr>
                <w:rFonts w:ascii="Arial" w:hAnsi="Arial" w:cs="Arial"/>
              </w:rPr>
              <w:t xml:space="preserve"> </w:t>
            </w:r>
            <w:r w:rsidRPr="00BA6121">
              <w:rPr>
                <w:rFonts w:ascii="Arial" w:hAnsi="Arial" w:cs="Arial"/>
              </w:rPr>
              <w:t>Application includes technical (hard skills) training that results in an industry recognized certification or license within the training period (as defined).</w:t>
            </w:r>
          </w:p>
          <w:p w14:paraId="1BF8D64B" w14:textId="77777777" w:rsidR="00DE21AC" w:rsidRDefault="00DE21AC" w:rsidP="005B446A">
            <w:pPr>
              <w:rPr>
                <w:rFonts w:ascii="Arial" w:hAnsi="Arial" w:cs="Arial"/>
              </w:rPr>
            </w:pPr>
          </w:p>
          <w:p w14:paraId="2F8E312B" w14:textId="0927C161" w:rsidR="00DE21AC" w:rsidRPr="00DE21AC" w:rsidRDefault="00DE21AC" w:rsidP="005B446A">
            <w:pPr>
              <w:rPr>
                <w:rFonts w:ascii="Arial" w:hAnsi="Arial" w:cs="Arial"/>
              </w:rPr>
            </w:pPr>
            <w:r w:rsidRPr="00DE21AC">
              <w:rPr>
                <w:rFonts w:ascii="Arial" w:hAnsi="Arial" w:cs="Arial"/>
              </w:rPr>
              <w:lastRenderedPageBreak/>
              <w:t>To earn 3 points, a minimum of one training that results in an industry recognized certification or license within the training period (as defined) must be included on the training plan. Credential must be included on the training plan.</w:t>
            </w:r>
          </w:p>
          <w:p w14:paraId="0D1F2E3A" w14:textId="53C64B58" w:rsidR="00DE21AC" w:rsidRPr="008401AD" w:rsidRDefault="00DE21AC" w:rsidP="005B446A">
            <w:pPr>
              <w:rPr>
                <w:rFonts w:ascii="Arial" w:hAnsi="Arial" w:cs="Arial"/>
                <w:bCs/>
                <w:sz w:val="23"/>
                <w:szCs w:val="23"/>
              </w:rPr>
            </w:pPr>
          </w:p>
        </w:tc>
        <w:tc>
          <w:tcPr>
            <w:tcW w:w="1563" w:type="dxa"/>
          </w:tcPr>
          <w:p w14:paraId="003D2B09" w14:textId="4960AD05" w:rsidR="00DE21AC" w:rsidRDefault="00DE21AC" w:rsidP="005B446A">
            <w:pPr>
              <w:jc w:val="center"/>
              <w:rPr>
                <w:rFonts w:ascii="Arial" w:hAnsi="Arial" w:cs="Arial"/>
                <w:sz w:val="23"/>
                <w:szCs w:val="23"/>
              </w:rPr>
            </w:pPr>
            <w:r>
              <w:rPr>
                <w:rFonts w:ascii="Arial" w:hAnsi="Arial" w:cs="Arial"/>
                <w:sz w:val="23"/>
                <w:szCs w:val="23"/>
              </w:rPr>
              <w:lastRenderedPageBreak/>
              <w:t>3</w:t>
            </w:r>
          </w:p>
        </w:tc>
      </w:tr>
      <w:tr w:rsidR="005B446A" w14:paraId="34F4776B" w14:textId="77777777" w:rsidTr="00D71A84">
        <w:tc>
          <w:tcPr>
            <w:tcW w:w="7797" w:type="dxa"/>
          </w:tcPr>
          <w:p w14:paraId="282C70FA" w14:textId="14154A11" w:rsidR="005B446A" w:rsidRPr="008401AD" w:rsidRDefault="0078007A" w:rsidP="005B446A">
            <w:pPr>
              <w:rPr>
                <w:rFonts w:ascii="Arial" w:hAnsi="Arial" w:cs="Arial"/>
                <w:sz w:val="23"/>
                <w:szCs w:val="23"/>
              </w:rPr>
            </w:pPr>
            <w:bookmarkStart w:id="10" w:name="_Hlk52359139"/>
            <w:r w:rsidRPr="008401AD">
              <w:rPr>
                <w:rFonts w:ascii="Arial" w:hAnsi="Arial" w:cs="Arial"/>
                <w:bCs/>
                <w:sz w:val="23"/>
                <w:szCs w:val="23"/>
              </w:rPr>
              <w:t xml:space="preserve">Application includes at least one employer who qualifies for a special allowance for minority-owned, women-owned, veteran-owned, Individual </w:t>
            </w:r>
            <w:r w:rsidR="00A651AC" w:rsidRPr="008401AD">
              <w:rPr>
                <w:rFonts w:ascii="Arial" w:hAnsi="Arial" w:cs="Arial"/>
                <w:bCs/>
                <w:sz w:val="23"/>
                <w:szCs w:val="23"/>
              </w:rPr>
              <w:t>with</w:t>
            </w:r>
            <w:r w:rsidRPr="008401AD">
              <w:rPr>
                <w:rFonts w:ascii="Arial" w:hAnsi="Arial" w:cs="Arial"/>
                <w:bCs/>
                <w:sz w:val="23"/>
                <w:szCs w:val="23"/>
              </w:rPr>
              <w:t xml:space="preserve"> a Disability (IWD) owned, or a Geographically-Disadvantaged Business Enterprise</w:t>
            </w:r>
            <w:bookmarkEnd w:id="10"/>
            <w:r w:rsidRPr="008401AD">
              <w:rPr>
                <w:rFonts w:ascii="Arial" w:hAnsi="Arial" w:cs="Arial"/>
                <w:bCs/>
                <w:sz w:val="23"/>
                <w:szCs w:val="23"/>
              </w:rPr>
              <w:t>.</w:t>
            </w:r>
          </w:p>
        </w:tc>
        <w:tc>
          <w:tcPr>
            <w:tcW w:w="1563" w:type="dxa"/>
          </w:tcPr>
          <w:p w14:paraId="4BF6E349" w14:textId="7060EAC2" w:rsidR="005B446A" w:rsidRPr="008401AD" w:rsidRDefault="00A651AC" w:rsidP="005B446A">
            <w:pPr>
              <w:jc w:val="center"/>
              <w:rPr>
                <w:rFonts w:ascii="Arial" w:hAnsi="Arial" w:cs="Arial"/>
                <w:sz w:val="23"/>
                <w:szCs w:val="23"/>
              </w:rPr>
            </w:pPr>
            <w:r>
              <w:rPr>
                <w:rFonts w:ascii="Arial" w:hAnsi="Arial" w:cs="Arial"/>
                <w:sz w:val="23"/>
                <w:szCs w:val="23"/>
              </w:rPr>
              <w:t>3</w:t>
            </w:r>
          </w:p>
          <w:p w14:paraId="597A57C3" w14:textId="77777777" w:rsidR="005B446A" w:rsidRPr="008401AD" w:rsidRDefault="005B446A" w:rsidP="005B446A">
            <w:pPr>
              <w:jc w:val="center"/>
              <w:rPr>
                <w:rFonts w:ascii="Arial" w:hAnsi="Arial" w:cs="Arial"/>
                <w:sz w:val="23"/>
                <w:szCs w:val="23"/>
                <w:highlight w:val="yellow"/>
              </w:rPr>
            </w:pPr>
          </w:p>
          <w:p w14:paraId="4585B16D" w14:textId="1EFA6E5C" w:rsidR="005B446A" w:rsidRPr="008401AD" w:rsidRDefault="005B446A" w:rsidP="005B446A">
            <w:pPr>
              <w:jc w:val="center"/>
              <w:rPr>
                <w:rFonts w:ascii="Arial" w:hAnsi="Arial" w:cs="Arial"/>
                <w:i/>
                <w:iCs/>
                <w:sz w:val="23"/>
                <w:szCs w:val="23"/>
                <w:highlight w:val="yellow"/>
              </w:rPr>
            </w:pPr>
          </w:p>
        </w:tc>
      </w:tr>
      <w:tr w:rsidR="00DE21AC" w14:paraId="1A0032FD" w14:textId="77777777" w:rsidTr="00D71A84">
        <w:tc>
          <w:tcPr>
            <w:tcW w:w="7797" w:type="dxa"/>
          </w:tcPr>
          <w:p w14:paraId="527130C2" w14:textId="77777777" w:rsidR="00DE21AC" w:rsidRPr="000221F9" w:rsidRDefault="00DE21AC" w:rsidP="00DE21AC">
            <w:pPr>
              <w:rPr>
                <w:rFonts w:ascii="Arial" w:hAnsi="Arial" w:cs="Arial"/>
                <w:sz w:val="23"/>
                <w:szCs w:val="23"/>
              </w:rPr>
            </w:pPr>
            <w:r w:rsidRPr="000221F9">
              <w:rPr>
                <w:rFonts w:ascii="Arial" w:hAnsi="Arial" w:cs="Arial"/>
                <w:sz w:val="23"/>
                <w:szCs w:val="23"/>
              </w:rPr>
              <w:t xml:space="preserve">Application includes training for USDOL Registered Apprentices </w:t>
            </w:r>
            <w:r>
              <w:rPr>
                <w:rFonts w:ascii="Arial" w:hAnsi="Arial" w:cs="Arial"/>
                <w:sz w:val="23"/>
                <w:szCs w:val="23"/>
              </w:rPr>
              <w:t>(1</w:t>
            </w:r>
            <w:r w:rsidRPr="00103177">
              <w:rPr>
                <w:rFonts w:ascii="Arial" w:hAnsi="Arial" w:cs="Arial"/>
                <w:sz w:val="23"/>
                <w:szCs w:val="23"/>
                <w:vertAlign w:val="superscript"/>
              </w:rPr>
              <w:t>st</w:t>
            </w:r>
            <w:r>
              <w:rPr>
                <w:rFonts w:ascii="Arial" w:hAnsi="Arial" w:cs="Arial"/>
                <w:sz w:val="23"/>
                <w:szCs w:val="23"/>
              </w:rPr>
              <w:t xml:space="preserve"> year through completion) </w:t>
            </w:r>
            <w:r w:rsidRPr="000221F9">
              <w:rPr>
                <w:rFonts w:ascii="Arial" w:hAnsi="Arial" w:cs="Arial"/>
                <w:sz w:val="23"/>
                <w:szCs w:val="23"/>
              </w:rPr>
              <w:t xml:space="preserve">leading to the nationally recognized, portable Certificate of Completion.   </w:t>
            </w:r>
          </w:p>
          <w:p w14:paraId="5B68689A" w14:textId="77777777" w:rsidR="00DE21AC" w:rsidRPr="000221F9" w:rsidRDefault="00DE21AC" w:rsidP="00DE21AC">
            <w:pPr>
              <w:rPr>
                <w:rFonts w:ascii="Arial" w:hAnsi="Arial" w:cs="Arial"/>
                <w:sz w:val="23"/>
                <w:szCs w:val="23"/>
              </w:rPr>
            </w:pPr>
          </w:p>
          <w:p w14:paraId="4F81CBE3" w14:textId="5DFF9CA5" w:rsidR="00DE21AC" w:rsidRPr="000221F9" w:rsidRDefault="00DE21AC" w:rsidP="00DE21AC">
            <w:pPr>
              <w:rPr>
                <w:rFonts w:ascii="Arial" w:hAnsi="Arial" w:cs="Arial"/>
                <w:sz w:val="23"/>
                <w:szCs w:val="23"/>
              </w:rPr>
            </w:pPr>
            <w:r w:rsidRPr="000221F9">
              <w:rPr>
                <w:rFonts w:ascii="Arial" w:hAnsi="Arial" w:cs="Arial"/>
                <w:sz w:val="23"/>
                <w:szCs w:val="23"/>
              </w:rPr>
              <w:t xml:space="preserve">&gt; 0 and up to 25% of trainees = </w:t>
            </w:r>
            <w:r>
              <w:rPr>
                <w:rFonts w:ascii="Arial" w:hAnsi="Arial" w:cs="Arial"/>
                <w:sz w:val="23"/>
                <w:szCs w:val="23"/>
              </w:rPr>
              <w:t>2</w:t>
            </w:r>
            <w:r w:rsidRPr="000221F9">
              <w:rPr>
                <w:rFonts w:ascii="Arial" w:hAnsi="Arial" w:cs="Arial"/>
                <w:sz w:val="23"/>
                <w:szCs w:val="23"/>
              </w:rPr>
              <w:t xml:space="preserve"> points</w:t>
            </w:r>
          </w:p>
          <w:p w14:paraId="4177AB8A" w14:textId="2B782277" w:rsidR="00DE21AC" w:rsidRPr="000221F9" w:rsidRDefault="00DE21AC" w:rsidP="00DE21AC">
            <w:pPr>
              <w:rPr>
                <w:rFonts w:ascii="Arial" w:hAnsi="Arial" w:cs="Arial"/>
                <w:sz w:val="23"/>
                <w:szCs w:val="23"/>
              </w:rPr>
            </w:pPr>
            <w:r w:rsidRPr="000221F9">
              <w:rPr>
                <w:rFonts w:ascii="Arial" w:hAnsi="Arial" w:cs="Arial"/>
                <w:sz w:val="23"/>
                <w:szCs w:val="23"/>
              </w:rPr>
              <w:t xml:space="preserve">&gt; 25% and up to 50% of all trainees = </w:t>
            </w:r>
            <w:r w:rsidR="00286C64">
              <w:rPr>
                <w:rFonts w:ascii="Arial" w:hAnsi="Arial" w:cs="Arial"/>
                <w:sz w:val="23"/>
                <w:szCs w:val="23"/>
              </w:rPr>
              <w:t>4</w:t>
            </w:r>
            <w:r w:rsidRPr="000221F9">
              <w:rPr>
                <w:rFonts w:ascii="Arial" w:hAnsi="Arial" w:cs="Arial"/>
                <w:sz w:val="23"/>
                <w:szCs w:val="23"/>
              </w:rPr>
              <w:t xml:space="preserve"> points</w:t>
            </w:r>
          </w:p>
          <w:p w14:paraId="76088CD6" w14:textId="2F3D9B85" w:rsidR="00DE21AC" w:rsidRPr="00B0086C" w:rsidRDefault="00DE21AC" w:rsidP="00DE21AC">
            <w:pPr>
              <w:rPr>
                <w:rFonts w:ascii="Arial" w:hAnsi="Arial" w:cs="Arial"/>
                <w:bCs/>
                <w:sz w:val="23"/>
                <w:szCs w:val="23"/>
              </w:rPr>
            </w:pPr>
            <w:r w:rsidRPr="008401AD">
              <w:rPr>
                <w:rFonts w:ascii="Arial" w:hAnsi="Arial" w:cs="Arial"/>
                <w:sz w:val="23"/>
                <w:szCs w:val="23"/>
              </w:rPr>
              <w:t xml:space="preserve">&gt; 50% of all trainees = </w:t>
            </w:r>
            <w:r w:rsidR="00286C64">
              <w:rPr>
                <w:rFonts w:ascii="Arial" w:hAnsi="Arial" w:cs="Arial"/>
                <w:sz w:val="23"/>
                <w:szCs w:val="23"/>
              </w:rPr>
              <w:t>6</w:t>
            </w:r>
            <w:r w:rsidRPr="008401AD">
              <w:rPr>
                <w:rFonts w:ascii="Arial" w:hAnsi="Arial" w:cs="Arial"/>
                <w:sz w:val="23"/>
                <w:szCs w:val="23"/>
              </w:rPr>
              <w:t xml:space="preserve"> points</w:t>
            </w:r>
          </w:p>
        </w:tc>
        <w:tc>
          <w:tcPr>
            <w:tcW w:w="1563" w:type="dxa"/>
          </w:tcPr>
          <w:p w14:paraId="410FE63B" w14:textId="3E0F1037" w:rsidR="00DE21AC" w:rsidRPr="008401AD" w:rsidRDefault="00DE21AC" w:rsidP="005B446A">
            <w:pPr>
              <w:jc w:val="center"/>
              <w:rPr>
                <w:rFonts w:ascii="Arial" w:hAnsi="Arial" w:cs="Arial"/>
                <w:sz w:val="23"/>
                <w:szCs w:val="23"/>
              </w:rPr>
            </w:pPr>
            <w:r>
              <w:rPr>
                <w:rFonts w:ascii="Arial" w:hAnsi="Arial" w:cs="Arial"/>
                <w:sz w:val="23"/>
                <w:szCs w:val="23"/>
              </w:rPr>
              <w:t>Up to 6</w:t>
            </w:r>
          </w:p>
        </w:tc>
      </w:tr>
      <w:tr w:rsidR="005B446A" w14:paraId="274AB0C0" w14:textId="77777777" w:rsidTr="00D71A84">
        <w:tc>
          <w:tcPr>
            <w:tcW w:w="7797" w:type="dxa"/>
          </w:tcPr>
          <w:p w14:paraId="60915798" w14:textId="0AF7078F" w:rsidR="0078007A" w:rsidRDefault="00B0086C" w:rsidP="0078007A">
            <w:pPr>
              <w:rPr>
                <w:rFonts w:ascii="Arial" w:hAnsi="Arial" w:cs="Arial"/>
                <w:bCs/>
                <w:sz w:val="23"/>
                <w:szCs w:val="23"/>
              </w:rPr>
            </w:pPr>
            <w:r w:rsidRPr="00B0086C">
              <w:rPr>
                <w:rFonts w:ascii="Arial" w:hAnsi="Arial" w:cs="Arial"/>
                <w:bCs/>
                <w:sz w:val="23"/>
                <w:szCs w:val="23"/>
              </w:rPr>
              <w:t xml:space="preserve">Median wage of trainees is equal to or above </w:t>
            </w:r>
            <w:r w:rsidR="00286C64">
              <w:rPr>
                <w:rFonts w:ascii="Arial" w:hAnsi="Arial" w:cs="Arial"/>
                <w:bCs/>
                <w:sz w:val="23"/>
                <w:szCs w:val="23"/>
              </w:rPr>
              <w:t>Regional Median Wage</w:t>
            </w:r>
            <w:r w:rsidRPr="00B0086C">
              <w:rPr>
                <w:rFonts w:ascii="Arial" w:hAnsi="Arial" w:cs="Arial"/>
                <w:bCs/>
                <w:sz w:val="23"/>
                <w:szCs w:val="23"/>
              </w:rPr>
              <w:t>. </w:t>
            </w:r>
          </w:p>
          <w:p w14:paraId="199F697B" w14:textId="77777777" w:rsidR="00B0086C" w:rsidRPr="0078007A" w:rsidRDefault="00B0086C" w:rsidP="0078007A">
            <w:pPr>
              <w:rPr>
                <w:rFonts w:ascii="Arial" w:hAnsi="Arial" w:cs="Arial"/>
                <w:bCs/>
                <w:sz w:val="23"/>
                <w:szCs w:val="23"/>
              </w:rPr>
            </w:pPr>
          </w:p>
          <w:p w14:paraId="42DA4353" w14:textId="5AC60569" w:rsidR="0078007A" w:rsidRPr="0078007A" w:rsidRDefault="0078007A" w:rsidP="0078007A">
            <w:pPr>
              <w:rPr>
                <w:rFonts w:ascii="Arial" w:hAnsi="Arial" w:cs="Arial"/>
                <w:sz w:val="23"/>
                <w:szCs w:val="23"/>
              </w:rPr>
            </w:pPr>
            <w:r w:rsidRPr="0078007A">
              <w:rPr>
                <w:rFonts w:ascii="Arial" w:hAnsi="Arial" w:cs="Arial"/>
                <w:sz w:val="23"/>
                <w:szCs w:val="23"/>
              </w:rPr>
              <w:t>&gt; 0 and up to 5</w:t>
            </w:r>
            <w:r w:rsidR="00B0086C">
              <w:rPr>
                <w:rFonts w:ascii="Arial" w:hAnsi="Arial" w:cs="Arial"/>
                <w:sz w:val="23"/>
                <w:szCs w:val="23"/>
              </w:rPr>
              <w:t>0</w:t>
            </w:r>
            <w:r w:rsidRPr="0078007A">
              <w:rPr>
                <w:rFonts w:ascii="Arial" w:hAnsi="Arial" w:cs="Arial"/>
                <w:sz w:val="23"/>
                <w:szCs w:val="23"/>
              </w:rPr>
              <w:t xml:space="preserve">% of all employers = </w:t>
            </w:r>
            <w:r w:rsidR="00B0086C">
              <w:rPr>
                <w:rFonts w:ascii="Arial" w:hAnsi="Arial" w:cs="Arial"/>
                <w:sz w:val="23"/>
                <w:szCs w:val="23"/>
              </w:rPr>
              <w:t>2</w:t>
            </w:r>
            <w:r w:rsidRPr="0078007A">
              <w:rPr>
                <w:rFonts w:ascii="Arial" w:hAnsi="Arial" w:cs="Arial"/>
                <w:sz w:val="23"/>
                <w:szCs w:val="23"/>
              </w:rPr>
              <w:t xml:space="preserve"> points</w:t>
            </w:r>
          </w:p>
          <w:p w14:paraId="4A55B093" w14:textId="48358031" w:rsidR="0078007A" w:rsidRPr="0078007A" w:rsidRDefault="0078007A" w:rsidP="0078007A">
            <w:pPr>
              <w:rPr>
                <w:rFonts w:ascii="Arial" w:hAnsi="Arial" w:cs="Arial"/>
                <w:sz w:val="23"/>
                <w:szCs w:val="23"/>
              </w:rPr>
            </w:pPr>
            <w:r w:rsidRPr="0078007A">
              <w:rPr>
                <w:rFonts w:ascii="Arial" w:hAnsi="Arial" w:cs="Arial"/>
                <w:sz w:val="23"/>
                <w:szCs w:val="23"/>
              </w:rPr>
              <w:t>&gt; 5</w:t>
            </w:r>
            <w:r w:rsidR="00B0086C">
              <w:rPr>
                <w:rFonts w:ascii="Arial" w:hAnsi="Arial" w:cs="Arial"/>
                <w:sz w:val="23"/>
                <w:szCs w:val="23"/>
              </w:rPr>
              <w:t>0</w:t>
            </w:r>
            <w:r w:rsidRPr="0078007A">
              <w:rPr>
                <w:rFonts w:ascii="Arial" w:hAnsi="Arial" w:cs="Arial"/>
                <w:sz w:val="23"/>
                <w:szCs w:val="23"/>
              </w:rPr>
              <w:t xml:space="preserve">% and up to </w:t>
            </w:r>
            <w:r w:rsidR="00B0086C">
              <w:rPr>
                <w:rFonts w:ascii="Arial" w:hAnsi="Arial" w:cs="Arial"/>
                <w:sz w:val="23"/>
                <w:szCs w:val="23"/>
              </w:rPr>
              <w:t>75</w:t>
            </w:r>
            <w:r w:rsidRPr="0078007A">
              <w:rPr>
                <w:rFonts w:ascii="Arial" w:hAnsi="Arial" w:cs="Arial"/>
                <w:sz w:val="23"/>
                <w:szCs w:val="23"/>
              </w:rPr>
              <w:t xml:space="preserve">% of all employers = </w:t>
            </w:r>
            <w:r w:rsidR="00B0086C">
              <w:rPr>
                <w:rFonts w:ascii="Arial" w:hAnsi="Arial" w:cs="Arial"/>
                <w:sz w:val="23"/>
                <w:szCs w:val="23"/>
              </w:rPr>
              <w:t>4</w:t>
            </w:r>
            <w:r w:rsidRPr="0078007A">
              <w:rPr>
                <w:rFonts w:ascii="Arial" w:hAnsi="Arial" w:cs="Arial"/>
                <w:sz w:val="23"/>
                <w:szCs w:val="23"/>
              </w:rPr>
              <w:t xml:space="preserve"> points</w:t>
            </w:r>
          </w:p>
          <w:p w14:paraId="0071E5F7" w14:textId="1F91C200" w:rsidR="005B446A" w:rsidRPr="008401AD" w:rsidRDefault="0078007A" w:rsidP="0078007A">
            <w:pPr>
              <w:rPr>
                <w:rFonts w:ascii="Arial" w:hAnsi="Arial" w:cs="Arial"/>
                <w:i/>
                <w:iCs/>
                <w:sz w:val="23"/>
                <w:szCs w:val="23"/>
              </w:rPr>
            </w:pPr>
            <w:r w:rsidRPr="008401AD">
              <w:rPr>
                <w:rFonts w:ascii="Arial" w:hAnsi="Arial" w:cs="Arial"/>
                <w:sz w:val="23"/>
                <w:szCs w:val="23"/>
              </w:rPr>
              <w:t xml:space="preserve">&gt; </w:t>
            </w:r>
            <w:r w:rsidR="00B0086C">
              <w:rPr>
                <w:rFonts w:ascii="Arial" w:hAnsi="Arial" w:cs="Arial"/>
                <w:sz w:val="23"/>
                <w:szCs w:val="23"/>
              </w:rPr>
              <w:t>7</w:t>
            </w:r>
            <w:r w:rsidRPr="008401AD">
              <w:rPr>
                <w:rFonts w:ascii="Arial" w:hAnsi="Arial" w:cs="Arial"/>
                <w:sz w:val="23"/>
                <w:szCs w:val="23"/>
              </w:rPr>
              <w:t xml:space="preserve">5% of all employers = </w:t>
            </w:r>
            <w:r w:rsidR="00B0086C">
              <w:rPr>
                <w:rFonts w:ascii="Arial" w:hAnsi="Arial" w:cs="Arial"/>
                <w:sz w:val="23"/>
                <w:szCs w:val="23"/>
              </w:rPr>
              <w:t>8</w:t>
            </w:r>
            <w:r w:rsidRPr="008401AD">
              <w:rPr>
                <w:rFonts w:ascii="Arial" w:hAnsi="Arial" w:cs="Arial"/>
                <w:sz w:val="23"/>
                <w:szCs w:val="23"/>
              </w:rPr>
              <w:t xml:space="preserve"> points</w:t>
            </w:r>
          </w:p>
        </w:tc>
        <w:tc>
          <w:tcPr>
            <w:tcW w:w="1563" w:type="dxa"/>
          </w:tcPr>
          <w:p w14:paraId="2C8FE4D6" w14:textId="762A2548" w:rsidR="005B446A" w:rsidRPr="008401AD" w:rsidRDefault="005B446A" w:rsidP="005B446A">
            <w:pPr>
              <w:jc w:val="center"/>
              <w:rPr>
                <w:rFonts w:ascii="Arial" w:hAnsi="Arial" w:cs="Arial"/>
                <w:sz w:val="23"/>
                <w:szCs w:val="23"/>
                <w:highlight w:val="yellow"/>
              </w:rPr>
            </w:pPr>
            <w:r w:rsidRPr="008401AD">
              <w:rPr>
                <w:rFonts w:ascii="Arial" w:hAnsi="Arial" w:cs="Arial"/>
                <w:sz w:val="23"/>
                <w:szCs w:val="23"/>
              </w:rPr>
              <w:t xml:space="preserve">Up to </w:t>
            </w:r>
            <w:r w:rsidR="00B0086C">
              <w:rPr>
                <w:rFonts w:ascii="Arial" w:hAnsi="Arial" w:cs="Arial"/>
                <w:sz w:val="23"/>
                <w:szCs w:val="23"/>
              </w:rPr>
              <w:t>8</w:t>
            </w:r>
          </w:p>
        </w:tc>
      </w:tr>
      <w:tr w:rsidR="00286C64" w14:paraId="746BCE2B" w14:textId="77777777" w:rsidTr="00D71A84">
        <w:tc>
          <w:tcPr>
            <w:tcW w:w="7797" w:type="dxa"/>
          </w:tcPr>
          <w:p w14:paraId="050A7C93" w14:textId="77777777" w:rsidR="00286C64" w:rsidRPr="00286C64" w:rsidRDefault="00286C64" w:rsidP="00286C64">
            <w:pPr>
              <w:rPr>
                <w:rFonts w:ascii="Arial" w:hAnsi="Arial" w:cs="Arial"/>
                <w:bCs/>
                <w:sz w:val="23"/>
                <w:szCs w:val="23"/>
              </w:rPr>
            </w:pPr>
            <w:r w:rsidRPr="00286C64">
              <w:rPr>
                <w:rFonts w:ascii="Arial" w:hAnsi="Arial" w:cs="Arial"/>
                <w:bCs/>
                <w:sz w:val="23"/>
                <w:szCs w:val="23"/>
              </w:rPr>
              <w:t>Employers have not received an Independent or ELC award in past two fiscal years (2023 and 2024).</w:t>
            </w:r>
          </w:p>
          <w:p w14:paraId="7E59CDC5" w14:textId="77777777" w:rsidR="00286C64" w:rsidRPr="00286C64" w:rsidRDefault="00286C64" w:rsidP="00286C64">
            <w:pPr>
              <w:rPr>
                <w:rFonts w:ascii="Arial" w:hAnsi="Arial" w:cs="Arial"/>
                <w:bCs/>
                <w:sz w:val="23"/>
                <w:szCs w:val="23"/>
              </w:rPr>
            </w:pPr>
          </w:p>
          <w:p w14:paraId="5637EB83" w14:textId="77777777" w:rsidR="00286C64" w:rsidRPr="00286C64" w:rsidRDefault="00286C64" w:rsidP="00286C64">
            <w:pPr>
              <w:rPr>
                <w:rFonts w:ascii="Arial" w:hAnsi="Arial" w:cs="Arial"/>
                <w:bCs/>
                <w:sz w:val="23"/>
                <w:szCs w:val="23"/>
              </w:rPr>
            </w:pPr>
            <w:r w:rsidRPr="00286C64">
              <w:rPr>
                <w:rFonts w:ascii="Arial" w:hAnsi="Arial" w:cs="Arial"/>
                <w:bCs/>
                <w:sz w:val="23"/>
                <w:szCs w:val="23"/>
              </w:rPr>
              <w:t>0 and up to 49% of all employers = 0 points</w:t>
            </w:r>
          </w:p>
          <w:p w14:paraId="76E92664" w14:textId="3A52DEA0" w:rsidR="00286C64" w:rsidRPr="00B0086C" w:rsidRDefault="00286C64" w:rsidP="00286C64">
            <w:pPr>
              <w:rPr>
                <w:rFonts w:ascii="Arial" w:hAnsi="Arial" w:cs="Arial"/>
                <w:bCs/>
                <w:sz w:val="23"/>
                <w:szCs w:val="23"/>
              </w:rPr>
            </w:pPr>
            <w:r w:rsidRPr="00286C64">
              <w:rPr>
                <w:rFonts w:ascii="Arial" w:hAnsi="Arial" w:cs="Arial"/>
                <w:bCs/>
                <w:sz w:val="23"/>
                <w:szCs w:val="23"/>
              </w:rPr>
              <w:t>50% and up to 100% of employers = 2 points</w:t>
            </w:r>
          </w:p>
        </w:tc>
        <w:tc>
          <w:tcPr>
            <w:tcW w:w="1563" w:type="dxa"/>
          </w:tcPr>
          <w:p w14:paraId="6972CE93" w14:textId="18337865" w:rsidR="00286C64" w:rsidRPr="008401AD" w:rsidRDefault="00286C64" w:rsidP="005B446A">
            <w:pPr>
              <w:jc w:val="center"/>
              <w:rPr>
                <w:rFonts w:ascii="Arial" w:hAnsi="Arial" w:cs="Arial"/>
                <w:sz w:val="23"/>
                <w:szCs w:val="23"/>
              </w:rPr>
            </w:pPr>
            <w:r>
              <w:rPr>
                <w:rFonts w:ascii="Arial" w:hAnsi="Arial" w:cs="Arial"/>
                <w:sz w:val="23"/>
                <w:szCs w:val="23"/>
              </w:rPr>
              <w:t>2</w:t>
            </w:r>
          </w:p>
        </w:tc>
      </w:tr>
      <w:tr w:rsidR="00286C64" w14:paraId="3F13C5A3" w14:textId="77777777" w:rsidTr="00D71A84">
        <w:tc>
          <w:tcPr>
            <w:tcW w:w="7797" w:type="dxa"/>
          </w:tcPr>
          <w:p w14:paraId="40E81718" w14:textId="77777777" w:rsidR="00286C64" w:rsidRPr="00286C64" w:rsidRDefault="00286C64" w:rsidP="00286C64">
            <w:pPr>
              <w:rPr>
                <w:rFonts w:ascii="Arial" w:hAnsi="Arial" w:cs="Arial"/>
                <w:bCs/>
                <w:sz w:val="23"/>
                <w:szCs w:val="23"/>
              </w:rPr>
            </w:pPr>
            <w:r w:rsidRPr="00286C64">
              <w:rPr>
                <w:rFonts w:ascii="Arial" w:hAnsi="Arial" w:cs="Arial"/>
                <w:bCs/>
                <w:sz w:val="23"/>
                <w:szCs w:val="23"/>
              </w:rPr>
              <w:t>Highest amount of funding requested by an employer participating in the ELC.</w:t>
            </w:r>
          </w:p>
          <w:p w14:paraId="22CAD1C2" w14:textId="659CCBD1" w:rsidR="00286C64" w:rsidRPr="00286C64" w:rsidRDefault="00286C64" w:rsidP="00286C64">
            <w:pPr>
              <w:rPr>
                <w:rFonts w:ascii="Arial" w:hAnsi="Arial" w:cs="Arial"/>
                <w:bCs/>
                <w:sz w:val="23"/>
                <w:szCs w:val="23"/>
              </w:rPr>
            </w:pPr>
            <w:r w:rsidRPr="00286C64">
              <w:rPr>
                <w:rFonts w:ascii="Arial" w:hAnsi="Arial" w:cs="Arial"/>
                <w:bCs/>
                <w:sz w:val="23"/>
                <w:szCs w:val="23"/>
              </w:rPr>
              <w:t>Up to $20,000: 4 points</w:t>
            </w:r>
          </w:p>
          <w:p w14:paraId="59DDB161" w14:textId="77777777" w:rsidR="00286C64" w:rsidRPr="00286C64" w:rsidRDefault="00286C64" w:rsidP="00286C64">
            <w:pPr>
              <w:rPr>
                <w:rFonts w:ascii="Arial" w:hAnsi="Arial" w:cs="Arial"/>
                <w:bCs/>
                <w:sz w:val="23"/>
                <w:szCs w:val="23"/>
              </w:rPr>
            </w:pPr>
            <w:r w:rsidRPr="00286C64">
              <w:rPr>
                <w:rFonts w:ascii="Arial" w:hAnsi="Arial" w:cs="Arial"/>
                <w:bCs/>
                <w:sz w:val="23"/>
                <w:szCs w:val="23"/>
              </w:rPr>
              <w:t>$20,001 to $40,000: 3 points</w:t>
            </w:r>
          </w:p>
          <w:p w14:paraId="28EAAF08" w14:textId="13432144" w:rsidR="00286C64" w:rsidRPr="00286C64" w:rsidRDefault="00286C64" w:rsidP="00286C64">
            <w:pPr>
              <w:rPr>
                <w:rFonts w:ascii="Arial" w:hAnsi="Arial" w:cs="Arial"/>
                <w:bCs/>
                <w:sz w:val="23"/>
                <w:szCs w:val="23"/>
              </w:rPr>
            </w:pPr>
            <w:r w:rsidRPr="00286C64">
              <w:rPr>
                <w:rFonts w:ascii="Arial" w:hAnsi="Arial" w:cs="Arial"/>
                <w:bCs/>
                <w:sz w:val="23"/>
                <w:szCs w:val="23"/>
              </w:rPr>
              <w:t>$40,001 to $60,000: 2 points</w:t>
            </w:r>
          </w:p>
          <w:p w14:paraId="4E4982BF" w14:textId="77777777" w:rsidR="00286C64" w:rsidRPr="00286C64" w:rsidRDefault="00286C64" w:rsidP="00286C64">
            <w:pPr>
              <w:rPr>
                <w:rFonts w:ascii="Arial" w:hAnsi="Arial" w:cs="Arial"/>
                <w:bCs/>
                <w:sz w:val="23"/>
                <w:szCs w:val="23"/>
              </w:rPr>
            </w:pPr>
            <w:r w:rsidRPr="00286C64">
              <w:rPr>
                <w:rFonts w:ascii="Arial" w:hAnsi="Arial" w:cs="Arial"/>
                <w:bCs/>
                <w:sz w:val="23"/>
                <w:szCs w:val="23"/>
              </w:rPr>
              <w:t>$60,001 to $80,000: 1 point</w:t>
            </w:r>
          </w:p>
          <w:p w14:paraId="5BCA012A" w14:textId="7529C61B" w:rsidR="00286C64" w:rsidRPr="00286C64" w:rsidRDefault="00286C64" w:rsidP="00286C64">
            <w:pPr>
              <w:rPr>
                <w:rFonts w:ascii="Arial" w:hAnsi="Arial" w:cs="Arial"/>
                <w:bCs/>
                <w:sz w:val="23"/>
                <w:szCs w:val="23"/>
              </w:rPr>
            </w:pPr>
            <w:r w:rsidRPr="00286C64">
              <w:rPr>
                <w:rFonts w:ascii="Arial" w:hAnsi="Arial" w:cs="Arial"/>
                <w:bCs/>
                <w:sz w:val="23"/>
                <w:szCs w:val="23"/>
              </w:rPr>
              <w:t>$80,001 and above: 0 points</w:t>
            </w:r>
          </w:p>
        </w:tc>
        <w:tc>
          <w:tcPr>
            <w:tcW w:w="1563" w:type="dxa"/>
          </w:tcPr>
          <w:p w14:paraId="6F9B9799" w14:textId="74362C7D" w:rsidR="00286C64" w:rsidRDefault="00286C64" w:rsidP="005B446A">
            <w:pPr>
              <w:jc w:val="center"/>
              <w:rPr>
                <w:rFonts w:ascii="Arial" w:hAnsi="Arial" w:cs="Arial"/>
                <w:sz w:val="23"/>
                <w:szCs w:val="23"/>
              </w:rPr>
            </w:pPr>
            <w:r>
              <w:rPr>
                <w:rFonts w:ascii="Arial" w:hAnsi="Arial" w:cs="Arial"/>
                <w:sz w:val="23"/>
                <w:szCs w:val="23"/>
              </w:rPr>
              <w:t xml:space="preserve">Up to 4 </w:t>
            </w:r>
          </w:p>
        </w:tc>
      </w:tr>
      <w:tr w:rsidR="005B446A" w14:paraId="167FCDDF" w14:textId="77777777" w:rsidTr="00E57601">
        <w:trPr>
          <w:trHeight w:val="278"/>
        </w:trPr>
        <w:tc>
          <w:tcPr>
            <w:tcW w:w="7797" w:type="dxa"/>
          </w:tcPr>
          <w:p w14:paraId="028B820D" w14:textId="789666E8" w:rsidR="005B446A" w:rsidRPr="008401AD" w:rsidRDefault="005B446A" w:rsidP="005B446A">
            <w:pPr>
              <w:jc w:val="right"/>
              <w:rPr>
                <w:rFonts w:ascii="Arial" w:hAnsi="Arial" w:cs="Arial"/>
                <w:sz w:val="23"/>
                <w:szCs w:val="23"/>
              </w:rPr>
            </w:pPr>
            <w:r w:rsidRPr="008401AD">
              <w:rPr>
                <w:rFonts w:ascii="Arial" w:hAnsi="Arial" w:cs="Arial"/>
                <w:b/>
                <w:sz w:val="23"/>
                <w:szCs w:val="23"/>
              </w:rPr>
              <w:t>Total</w:t>
            </w:r>
          </w:p>
        </w:tc>
        <w:tc>
          <w:tcPr>
            <w:tcW w:w="1563" w:type="dxa"/>
          </w:tcPr>
          <w:p w14:paraId="3D08D27D" w14:textId="32E48694" w:rsidR="005B446A" w:rsidRPr="008401AD" w:rsidRDefault="00286C64" w:rsidP="005B446A">
            <w:pPr>
              <w:jc w:val="center"/>
              <w:rPr>
                <w:rFonts w:ascii="Arial" w:hAnsi="Arial" w:cs="Arial"/>
                <w:b/>
                <w:bCs/>
                <w:sz w:val="23"/>
                <w:szCs w:val="23"/>
              </w:rPr>
            </w:pPr>
            <w:r>
              <w:rPr>
                <w:rFonts w:ascii="Arial" w:hAnsi="Arial" w:cs="Arial"/>
                <w:b/>
                <w:bCs/>
                <w:sz w:val="23"/>
                <w:szCs w:val="23"/>
              </w:rPr>
              <w:t>70</w:t>
            </w:r>
          </w:p>
        </w:tc>
      </w:tr>
    </w:tbl>
    <w:p w14:paraId="54F7EA55" w14:textId="77777777" w:rsidR="00CE29CD" w:rsidRPr="00490495" w:rsidRDefault="00CE29CD" w:rsidP="008401AD">
      <w:pPr>
        <w:tabs>
          <w:tab w:val="left" w:pos="7855"/>
        </w:tabs>
        <w:rPr>
          <w:rFonts w:ascii="Arial" w:hAnsi="Arial" w:cs="Arial"/>
          <w:sz w:val="24"/>
          <w:szCs w:val="24"/>
        </w:rPr>
      </w:pPr>
    </w:p>
    <w:sectPr w:rsidR="00CE29CD" w:rsidRPr="00490495" w:rsidSect="00EC7624">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A8F751" w14:textId="77777777" w:rsidR="00851F3E" w:rsidRDefault="00851F3E" w:rsidP="00061A0F">
      <w:pPr>
        <w:spacing w:after="0" w:line="240" w:lineRule="auto"/>
      </w:pPr>
      <w:r>
        <w:separator/>
      </w:r>
    </w:p>
  </w:endnote>
  <w:endnote w:type="continuationSeparator" w:id="0">
    <w:p w14:paraId="61822B21" w14:textId="77777777" w:rsidR="00851F3E" w:rsidRDefault="00851F3E" w:rsidP="00061A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6C79A" w14:textId="77777777" w:rsidR="00EC7624" w:rsidRDefault="00EC76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824762"/>
      <w:docPartObj>
        <w:docPartGallery w:val="Page Numbers (Bottom of Page)"/>
        <w:docPartUnique/>
      </w:docPartObj>
    </w:sdtPr>
    <w:sdtEndPr>
      <w:rPr>
        <w:noProof/>
      </w:rPr>
    </w:sdtEndPr>
    <w:sdtContent>
      <w:p w14:paraId="22EEA692" w14:textId="12208D69" w:rsidR="00A05E4E" w:rsidRDefault="00A05E4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03DF964" w14:textId="77777777" w:rsidR="00A05E4E" w:rsidRDefault="00A05E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369239" w14:textId="77777777" w:rsidR="00EC7624" w:rsidRDefault="00EC76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0705CB" w14:textId="77777777" w:rsidR="00851F3E" w:rsidRDefault="00851F3E" w:rsidP="00061A0F">
      <w:pPr>
        <w:spacing w:after="0" w:line="240" w:lineRule="auto"/>
      </w:pPr>
      <w:r>
        <w:separator/>
      </w:r>
    </w:p>
  </w:footnote>
  <w:footnote w:type="continuationSeparator" w:id="0">
    <w:p w14:paraId="71ABCEE0" w14:textId="77777777" w:rsidR="00851F3E" w:rsidRDefault="00851F3E" w:rsidP="00061A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1F94B" w14:textId="77777777" w:rsidR="00EC7624" w:rsidRDefault="00EC76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32423" w14:textId="77777777" w:rsidR="00EC7624" w:rsidRDefault="00EC76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7A219" w14:textId="77777777" w:rsidR="00EC7624" w:rsidRDefault="00EC76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12129"/>
    <w:multiLevelType w:val="hybridMultilevel"/>
    <w:tmpl w:val="BD863F1C"/>
    <w:lvl w:ilvl="0" w:tplc="175A4D46">
      <w:start w:val="1"/>
      <w:numFmt w:val="lowerRoman"/>
      <w:lvlText w:val="%1."/>
      <w:lvlJc w:val="right"/>
      <w:pPr>
        <w:ind w:left="2160" w:hanging="18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DF2205"/>
    <w:multiLevelType w:val="hybridMultilevel"/>
    <w:tmpl w:val="E174CF6E"/>
    <w:lvl w:ilvl="0" w:tplc="4C3C14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C31829"/>
    <w:multiLevelType w:val="hybridMultilevel"/>
    <w:tmpl w:val="CDF02DD8"/>
    <w:lvl w:ilvl="0" w:tplc="8AB843E4">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rPr>
        <w:rFonts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8810F6"/>
    <w:multiLevelType w:val="hybridMultilevel"/>
    <w:tmpl w:val="3D08AE3C"/>
    <w:lvl w:ilvl="0" w:tplc="37FC45D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490044"/>
    <w:multiLevelType w:val="hybridMultilevel"/>
    <w:tmpl w:val="CE762C52"/>
    <w:lvl w:ilvl="0" w:tplc="C1D6EB70">
      <w:start w:val="1"/>
      <w:numFmt w:val="bullet"/>
      <w:lvlText w:val="•"/>
      <w:lvlJc w:val="left"/>
      <w:pPr>
        <w:tabs>
          <w:tab w:val="num" w:pos="720"/>
        </w:tabs>
        <w:ind w:left="720" w:hanging="360"/>
      </w:pPr>
      <w:rPr>
        <w:rFonts w:ascii="Arial" w:hAnsi="Arial" w:hint="default"/>
      </w:rPr>
    </w:lvl>
    <w:lvl w:ilvl="1" w:tplc="AA6C8C56" w:tentative="1">
      <w:start w:val="1"/>
      <w:numFmt w:val="bullet"/>
      <w:lvlText w:val="•"/>
      <w:lvlJc w:val="left"/>
      <w:pPr>
        <w:tabs>
          <w:tab w:val="num" w:pos="1440"/>
        </w:tabs>
        <w:ind w:left="1440" w:hanging="360"/>
      </w:pPr>
      <w:rPr>
        <w:rFonts w:ascii="Arial" w:hAnsi="Arial" w:hint="default"/>
      </w:rPr>
    </w:lvl>
    <w:lvl w:ilvl="2" w:tplc="46209FEA" w:tentative="1">
      <w:start w:val="1"/>
      <w:numFmt w:val="bullet"/>
      <w:lvlText w:val="•"/>
      <w:lvlJc w:val="left"/>
      <w:pPr>
        <w:tabs>
          <w:tab w:val="num" w:pos="2160"/>
        </w:tabs>
        <w:ind w:left="2160" w:hanging="360"/>
      </w:pPr>
      <w:rPr>
        <w:rFonts w:ascii="Arial" w:hAnsi="Arial" w:hint="default"/>
      </w:rPr>
    </w:lvl>
    <w:lvl w:ilvl="3" w:tplc="4C42D77E" w:tentative="1">
      <w:start w:val="1"/>
      <w:numFmt w:val="bullet"/>
      <w:lvlText w:val="•"/>
      <w:lvlJc w:val="left"/>
      <w:pPr>
        <w:tabs>
          <w:tab w:val="num" w:pos="2880"/>
        </w:tabs>
        <w:ind w:left="2880" w:hanging="360"/>
      </w:pPr>
      <w:rPr>
        <w:rFonts w:ascii="Arial" w:hAnsi="Arial" w:hint="default"/>
      </w:rPr>
    </w:lvl>
    <w:lvl w:ilvl="4" w:tplc="B7E0B888" w:tentative="1">
      <w:start w:val="1"/>
      <w:numFmt w:val="bullet"/>
      <w:lvlText w:val="•"/>
      <w:lvlJc w:val="left"/>
      <w:pPr>
        <w:tabs>
          <w:tab w:val="num" w:pos="3600"/>
        </w:tabs>
        <w:ind w:left="3600" w:hanging="360"/>
      </w:pPr>
      <w:rPr>
        <w:rFonts w:ascii="Arial" w:hAnsi="Arial" w:hint="default"/>
      </w:rPr>
    </w:lvl>
    <w:lvl w:ilvl="5" w:tplc="CE82F75E" w:tentative="1">
      <w:start w:val="1"/>
      <w:numFmt w:val="bullet"/>
      <w:lvlText w:val="•"/>
      <w:lvlJc w:val="left"/>
      <w:pPr>
        <w:tabs>
          <w:tab w:val="num" w:pos="4320"/>
        </w:tabs>
        <w:ind w:left="4320" w:hanging="360"/>
      </w:pPr>
      <w:rPr>
        <w:rFonts w:ascii="Arial" w:hAnsi="Arial" w:hint="default"/>
      </w:rPr>
    </w:lvl>
    <w:lvl w:ilvl="6" w:tplc="5CBE3CF0" w:tentative="1">
      <w:start w:val="1"/>
      <w:numFmt w:val="bullet"/>
      <w:lvlText w:val="•"/>
      <w:lvlJc w:val="left"/>
      <w:pPr>
        <w:tabs>
          <w:tab w:val="num" w:pos="5040"/>
        </w:tabs>
        <w:ind w:left="5040" w:hanging="360"/>
      </w:pPr>
      <w:rPr>
        <w:rFonts w:ascii="Arial" w:hAnsi="Arial" w:hint="default"/>
      </w:rPr>
    </w:lvl>
    <w:lvl w:ilvl="7" w:tplc="525023B6" w:tentative="1">
      <w:start w:val="1"/>
      <w:numFmt w:val="bullet"/>
      <w:lvlText w:val="•"/>
      <w:lvlJc w:val="left"/>
      <w:pPr>
        <w:tabs>
          <w:tab w:val="num" w:pos="5760"/>
        </w:tabs>
        <w:ind w:left="5760" w:hanging="360"/>
      </w:pPr>
      <w:rPr>
        <w:rFonts w:ascii="Arial" w:hAnsi="Arial" w:hint="default"/>
      </w:rPr>
    </w:lvl>
    <w:lvl w:ilvl="8" w:tplc="65643D7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8B5704F"/>
    <w:multiLevelType w:val="hybridMultilevel"/>
    <w:tmpl w:val="485C5A5A"/>
    <w:lvl w:ilvl="0" w:tplc="8AB843E4">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850727"/>
    <w:multiLevelType w:val="hybridMultilevel"/>
    <w:tmpl w:val="2DFA35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3C482D"/>
    <w:multiLevelType w:val="hybridMultilevel"/>
    <w:tmpl w:val="9E629A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C803DC"/>
    <w:multiLevelType w:val="hybridMultilevel"/>
    <w:tmpl w:val="A216D4A2"/>
    <w:lvl w:ilvl="0" w:tplc="6E9E457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BBF0F5C"/>
    <w:multiLevelType w:val="hybridMultilevel"/>
    <w:tmpl w:val="C390FC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FA123AB"/>
    <w:multiLevelType w:val="multilevel"/>
    <w:tmpl w:val="19CCF95C"/>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360"/>
      </w:pPr>
      <w:rPr>
        <w:rFonts w:hint="default"/>
        <w:color w:val="auto"/>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1421752964">
    <w:abstractNumId w:val="4"/>
  </w:num>
  <w:num w:numId="2" w16cid:durableId="716323723">
    <w:abstractNumId w:val="10"/>
  </w:num>
  <w:num w:numId="3" w16cid:durableId="487282288">
    <w:abstractNumId w:val="2"/>
  </w:num>
  <w:num w:numId="4" w16cid:durableId="816797069">
    <w:abstractNumId w:val="5"/>
  </w:num>
  <w:num w:numId="5" w16cid:durableId="224148892">
    <w:abstractNumId w:val="3"/>
  </w:num>
  <w:num w:numId="6" w16cid:durableId="1467622462">
    <w:abstractNumId w:val="0"/>
  </w:num>
  <w:num w:numId="7" w16cid:durableId="1336565837">
    <w:abstractNumId w:val="1"/>
  </w:num>
  <w:num w:numId="8" w16cid:durableId="600918407">
    <w:abstractNumId w:val="9"/>
  </w:num>
  <w:num w:numId="9" w16cid:durableId="335886976">
    <w:abstractNumId w:val="8"/>
  </w:num>
  <w:num w:numId="10" w16cid:durableId="1401295473">
    <w:abstractNumId w:val="6"/>
  </w:num>
  <w:num w:numId="11" w16cid:durableId="20200839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5"/>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A0F"/>
    <w:rsid w:val="000101DC"/>
    <w:rsid w:val="000221F9"/>
    <w:rsid w:val="000457BA"/>
    <w:rsid w:val="0005262C"/>
    <w:rsid w:val="00061A0F"/>
    <w:rsid w:val="000855FF"/>
    <w:rsid w:val="000A73AC"/>
    <w:rsid w:val="000C184D"/>
    <w:rsid w:val="000D7BD3"/>
    <w:rsid w:val="000F41D9"/>
    <w:rsid w:val="00103177"/>
    <w:rsid w:val="001052AE"/>
    <w:rsid w:val="00113313"/>
    <w:rsid w:val="00114A01"/>
    <w:rsid w:val="00115AC0"/>
    <w:rsid w:val="001265F2"/>
    <w:rsid w:val="00144EC8"/>
    <w:rsid w:val="00151C26"/>
    <w:rsid w:val="00177EF7"/>
    <w:rsid w:val="00187C54"/>
    <w:rsid w:val="001976C9"/>
    <w:rsid w:val="001A259B"/>
    <w:rsid w:val="001C219F"/>
    <w:rsid w:val="001D43A4"/>
    <w:rsid w:val="001F4733"/>
    <w:rsid w:val="002354DF"/>
    <w:rsid w:val="002654BA"/>
    <w:rsid w:val="00286C64"/>
    <w:rsid w:val="00286FFF"/>
    <w:rsid w:val="002921D7"/>
    <w:rsid w:val="002A1C45"/>
    <w:rsid w:val="002A3A63"/>
    <w:rsid w:val="002B22CC"/>
    <w:rsid w:val="002D115B"/>
    <w:rsid w:val="002D15FA"/>
    <w:rsid w:val="002D2C24"/>
    <w:rsid w:val="002E4451"/>
    <w:rsid w:val="002E4F81"/>
    <w:rsid w:val="00300EFC"/>
    <w:rsid w:val="003034AE"/>
    <w:rsid w:val="003243E5"/>
    <w:rsid w:val="003332BC"/>
    <w:rsid w:val="0036747D"/>
    <w:rsid w:val="00391290"/>
    <w:rsid w:val="00391856"/>
    <w:rsid w:val="00396E18"/>
    <w:rsid w:val="003A30AA"/>
    <w:rsid w:val="003A7346"/>
    <w:rsid w:val="003C6825"/>
    <w:rsid w:val="003E7268"/>
    <w:rsid w:val="003E7634"/>
    <w:rsid w:val="003F1B0F"/>
    <w:rsid w:val="003F6B4B"/>
    <w:rsid w:val="004054C4"/>
    <w:rsid w:val="00410291"/>
    <w:rsid w:val="00411F67"/>
    <w:rsid w:val="004137FB"/>
    <w:rsid w:val="00416495"/>
    <w:rsid w:val="00417720"/>
    <w:rsid w:val="00434DFD"/>
    <w:rsid w:val="004432F3"/>
    <w:rsid w:val="00446739"/>
    <w:rsid w:val="004822D1"/>
    <w:rsid w:val="00490495"/>
    <w:rsid w:val="004A6314"/>
    <w:rsid w:val="004C6115"/>
    <w:rsid w:val="004F5292"/>
    <w:rsid w:val="00523F99"/>
    <w:rsid w:val="00527368"/>
    <w:rsid w:val="00537C3A"/>
    <w:rsid w:val="005444E6"/>
    <w:rsid w:val="00582F0D"/>
    <w:rsid w:val="005B446A"/>
    <w:rsid w:val="005B449A"/>
    <w:rsid w:val="005C09AE"/>
    <w:rsid w:val="005D3817"/>
    <w:rsid w:val="005E548E"/>
    <w:rsid w:val="005F5B43"/>
    <w:rsid w:val="0061641C"/>
    <w:rsid w:val="00623669"/>
    <w:rsid w:val="00640E41"/>
    <w:rsid w:val="006711D7"/>
    <w:rsid w:val="00681D99"/>
    <w:rsid w:val="00696A16"/>
    <w:rsid w:val="006A5AB6"/>
    <w:rsid w:val="006B0C3D"/>
    <w:rsid w:val="006B7C72"/>
    <w:rsid w:val="006C0131"/>
    <w:rsid w:val="006C3A4D"/>
    <w:rsid w:val="006E0F25"/>
    <w:rsid w:val="0071242B"/>
    <w:rsid w:val="00712FD8"/>
    <w:rsid w:val="00723E53"/>
    <w:rsid w:val="0074072A"/>
    <w:rsid w:val="00743BF4"/>
    <w:rsid w:val="00744EA1"/>
    <w:rsid w:val="007516AD"/>
    <w:rsid w:val="00760661"/>
    <w:rsid w:val="00765D21"/>
    <w:rsid w:val="0078007A"/>
    <w:rsid w:val="00790D05"/>
    <w:rsid w:val="007A149B"/>
    <w:rsid w:val="007B014B"/>
    <w:rsid w:val="0081417F"/>
    <w:rsid w:val="00822DE0"/>
    <w:rsid w:val="00831814"/>
    <w:rsid w:val="008401AD"/>
    <w:rsid w:val="00851F3E"/>
    <w:rsid w:val="00855DC2"/>
    <w:rsid w:val="00857949"/>
    <w:rsid w:val="008721E2"/>
    <w:rsid w:val="0088545E"/>
    <w:rsid w:val="008860AA"/>
    <w:rsid w:val="00891D3D"/>
    <w:rsid w:val="00901BF4"/>
    <w:rsid w:val="009122EB"/>
    <w:rsid w:val="00966E05"/>
    <w:rsid w:val="00991D0D"/>
    <w:rsid w:val="009A53FE"/>
    <w:rsid w:val="009B717A"/>
    <w:rsid w:val="009C574E"/>
    <w:rsid w:val="009D08BB"/>
    <w:rsid w:val="009D24CD"/>
    <w:rsid w:val="00A05E4E"/>
    <w:rsid w:val="00A2485F"/>
    <w:rsid w:val="00A30411"/>
    <w:rsid w:val="00A4416A"/>
    <w:rsid w:val="00A452A1"/>
    <w:rsid w:val="00A651AC"/>
    <w:rsid w:val="00A672F8"/>
    <w:rsid w:val="00A91C7D"/>
    <w:rsid w:val="00AD7F60"/>
    <w:rsid w:val="00AF5C63"/>
    <w:rsid w:val="00B0086C"/>
    <w:rsid w:val="00B10A11"/>
    <w:rsid w:val="00B16EF8"/>
    <w:rsid w:val="00B2385C"/>
    <w:rsid w:val="00BC0AE1"/>
    <w:rsid w:val="00BF0E13"/>
    <w:rsid w:val="00C20191"/>
    <w:rsid w:val="00C300EE"/>
    <w:rsid w:val="00C30533"/>
    <w:rsid w:val="00C54D30"/>
    <w:rsid w:val="00C60788"/>
    <w:rsid w:val="00CA1827"/>
    <w:rsid w:val="00CA210B"/>
    <w:rsid w:val="00CD2887"/>
    <w:rsid w:val="00CD3031"/>
    <w:rsid w:val="00CE29CD"/>
    <w:rsid w:val="00D020A8"/>
    <w:rsid w:val="00D601E9"/>
    <w:rsid w:val="00D6081D"/>
    <w:rsid w:val="00D71A84"/>
    <w:rsid w:val="00D71F8A"/>
    <w:rsid w:val="00D96444"/>
    <w:rsid w:val="00DE21AC"/>
    <w:rsid w:val="00DF01A0"/>
    <w:rsid w:val="00DF48E7"/>
    <w:rsid w:val="00E01F71"/>
    <w:rsid w:val="00E17043"/>
    <w:rsid w:val="00E51812"/>
    <w:rsid w:val="00E52EDF"/>
    <w:rsid w:val="00E57601"/>
    <w:rsid w:val="00E8712B"/>
    <w:rsid w:val="00E97A76"/>
    <w:rsid w:val="00EA193F"/>
    <w:rsid w:val="00EB2026"/>
    <w:rsid w:val="00EC5523"/>
    <w:rsid w:val="00EC7624"/>
    <w:rsid w:val="00EE79DA"/>
    <w:rsid w:val="00F167FE"/>
    <w:rsid w:val="00F26645"/>
    <w:rsid w:val="00F26A7A"/>
    <w:rsid w:val="00F33C68"/>
    <w:rsid w:val="00F40124"/>
    <w:rsid w:val="00F44345"/>
    <w:rsid w:val="00F725A3"/>
    <w:rsid w:val="00F8183A"/>
    <w:rsid w:val="00FA4E06"/>
    <w:rsid w:val="00FA56C1"/>
    <w:rsid w:val="00FE7F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32E7D436"/>
  <w15:chartTrackingRefBased/>
  <w15:docId w15:val="{3A768F97-370C-4488-9983-AF0038419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1A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1A0F"/>
    <w:rPr>
      <w:rFonts w:ascii="Segoe UI" w:hAnsi="Segoe UI" w:cs="Segoe UI"/>
      <w:sz w:val="18"/>
      <w:szCs w:val="18"/>
    </w:rPr>
  </w:style>
  <w:style w:type="character" w:styleId="Hyperlink">
    <w:name w:val="Hyperlink"/>
    <w:basedOn w:val="DefaultParagraphFont"/>
    <w:uiPriority w:val="99"/>
    <w:unhideWhenUsed/>
    <w:rsid w:val="00B16EF8"/>
    <w:rPr>
      <w:color w:val="0563C1" w:themeColor="hyperlink"/>
      <w:u w:val="single"/>
    </w:rPr>
  </w:style>
  <w:style w:type="character" w:styleId="UnresolvedMention">
    <w:name w:val="Unresolved Mention"/>
    <w:basedOn w:val="DefaultParagraphFont"/>
    <w:uiPriority w:val="99"/>
    <w:semiHidden/>
    <w:unhideWhenUsed/>
    <w:rsid w:val="00B16EF8"/>
    <w:rPr>
      <w:color w:val="605E5C"/>
      <w:shd w:val="clear" w:color="auto" w:fill="E1DFDD"/>
    </w:rPr>
  </w:style>
  <w:style w:type="table" w:styleId="TableGrid">
    <w:name w:val="Table Grid"/>
    <w:basedOn w:val="TableNormal"/>
    <w:uiPriority w:val="39"/>
    <w:rsid w:val="00E170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E7634"/>
    <w:rPr>
      <w:sz w:val="16"/>
      <w:szCs w:val="16"/>
    </w:rPr>
  </w:style>
  <w:style w:type="paragraph" w:styleId="CommentText">
    <w:name w:val="annotation text"/>
    <w:basedOn w:val="Normal"/>
    <w:link w:val="CommentTextChar"/>
    <w:uiPriority w:val="99"/>
    <w:unhideWhenUsed/>
    <w:rsid w:val="003E7634"/>
    <w:pPr>
      <w:spacing w:line="240" w:lineRule="auto"/>
    </w:pPr>
    <w:rPr>
      <w:sz w:val="20"/>
      <w:szCs w:val="20"/>
    </w:rPr>
  </w:style>
  <w:style w:type="character" w:customStyle="1" w:styleId="CommentTextChar">
    <w:name w:val="Comment Text Char"/>
    <w:basedOn w:val="DefaultParagraphFont"/>
    <w:link w:val="CommentText"/>
    <w:uiPriority w:val="99"/>
    <w:rsid w:val="003E7634"/>
    <w:rPr>
      <w:sz w:val="20"/>
      <w:szCs w:val="20"/>
    </w:rPr>
  </w:style>
  <w:style w:type="paragraph" w:styleId="CommentSubject">
    <w:name w:val="annotation subject"/>
    <w:basedOn w:val="CommentText"/>
    <w:next w:val="CommentText"/>
    <w:link w:val="CommentSubjectChar"/>
    <w:uiPriority w:val="99"/>
    <w:semiHidden/>
    <w:unhideWhenUsed/>
    <w:rsid w:val="003E7634"/>
    <w:rPr>
      <w:b/>
      <w:bCs/>
    </w:rPr>
  </w:style>
  <w:style w:type="character" w:customStyle="1" w:styleId="CommentSubjectChar">
    <w:name w:val="Comment Subject Char"/>
    <w:basedOn w:val="CommentTextChar"/>
    <w:link w:val="CommentSubject"/>
    <w:uiPriority w:val="99"/>
    <w:semiHidden/>
    <w:rsid w:val="003E7634"/>
    <w:rPr>
      <w:b/>
      <w:bCs/>
      <w:sz w:val="20"/>
      <w:szCs w:val="20"/>
    </w:rPr>
  </w:style>
  <w:style w:type="paragraph" w:styleId="Header">
    <w:name w:val="header"/>
    <w:basedOn w:val="Normal"/>
    <w:link w:val="HeaderChar"/>
    <w:uiPriority w:val="99"/>
    <w:unhideWhenUsed/>
    <w:rsid w:val="00A05E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5E4E"/>
  </w:style>
  <w:style w:type="paragraph" w:styleId="Footer">
    <w:name w:val="footer"/>
    <w:basedOn w:val="Normal"/>
    <w:link w:val="FooterChar"/>
    <w:uiPriority w:val="99"/>
    <w:unhideWhenUsed/>
    <w:rsid w:val="00A05E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5E4E"/>
  </w:style>
  <w:style w:type="paragraph" w:styleId="ListParagraph">
    <w:name w:val="List Paragraph"/>
    <w:basedOn w:val="Normal"/>
    <w:uiPriority w:val="34"/>
    <w:qFormat/>
    <w:rsid w:val="00BC0AE1"/>
    <w:pPr>
      <w:ind w:left="720"/>
      <w:contextualSpacing/>
    </w:pPr>
  </w:style>
  <w:style w:type="paragraph" w:styleId="Revision">
    <w:name w:val="Revision"/>
    <w:hidden/>
    <w:uiPriority w:val="99"/>
    <w:semiHidden/>
    <w:rsid w:val="00FA56C1"/>
    <w:pPr>
      <w:spacing w:after="0" w:line="240" w:lineRule="auto"/>
    </w:pPr>
  </w:style>
  <w:style w:type="character" w:styleId="FollowedHyperlink">
    <w:name w:val="FollowedHyperlink"/>
    <w:basedOn w:val="DefaultParagraphFont"/>
    <w:uiPriority w:val="99"/>
    <w:semiHidden/>
    <w:unhideWhenUsed/>
    <w:rsid w:val="00C6078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46524">
      <w:bodyDiv w:val="1"/>
      <w:marLeft w:val="0"/>
      <w:marRight w:val="0"/>
      <w:marTop w:val="0"/>
      <w:marBottom w:val="0"/>
      <w:divBdr>
        <w:top w:val="none" w:sz="0" w:space="0" w:color="auto"/>
        <w:left w:val="none" w:sz="0" w:space="0" w:color="auto"/>
        <w:bottom w:val="none" w:sz="0" w:space="0" w:color="auto"/>
        <w:right w:val="none" w:sz="0" w:space="0" w:color="auto"/>
      </w:divBdr>
    </w:div>
    <w:div w:id="1257667850">
      <w:bodyDiv w:val="1"/>
      <w:marLeft w:val="0"/>
      <w:marRight w:val="0"/>
      <w:marTop w:val="0"/>
      <w:marBottom w:val="0"/>
      <w:divBdr>
        <w:top w:val="none" w:sz="0" w:space="0" w:color="auto"/>
        <w:left w:val="none" w:sz="0" w:space="0" w:color="auto"/>
        <w:bottom w:val="none" w:sz="0" w:space="0" w:color="auto"/>
        <w:right w:val="none" w:sz="0" w:space="0" w:color="auto"/>
      </w:divBdr>
    </w:div>
    <w:div w:id="1343434788">
      <w:bodyDiv w:val="1"/>
      <w:marLeft w:val="0"/>
      <w:marRight w:val="0"/>
      <w:marTop w:val="0"/>
      <w:marBottom w:val="0"/>
      <w:divBdr>
        <w:top w:val="none" w:sz="0" w:space="0" w:color="auto"/>
        <w:left w:val="none" w:sz="0" w:space="0" w:color="auto"/>
        <w:bottom w:val="none" w:sz="0" w:space="0" w:color="auto"/>
        <w:right w:val="none" w:sz="0" w:space="0" w:color="auto"/>
      </w:divBdr>
      <w:divsChild>
        <w:div w:id="706030734">
          <w:marLeft w:val="720"/>
          <w:marRight w:val="0"/>
          <w:marTop w:val="0"/>
          <w:marBottom w:val="0"/>
          <w:divBdr>
            <w:top w:val="none" w:sz="0" w:space="0" w:color="auto"/>
            <w:left w:val="none" w:sz="0" w:space="0" w:color="auto"/>
            <w:bottom w:val="none" w:sz="0" w:space="0" w:color="auto"/>
            <w:right w:val="none" w:sz="0" w:space="0" w:color="auto"/>
          </w:divBdr>
        </w:div>
        <w:div w:id="236088257">
          <w:marLeft w:val="720"/>
          <w:marRight w:val="0"/>
          <w:marTop w:val="0"/>
          <w:marBottom w:val="0"/>
          <w:divBdr>
            <w:top w:val="none" w:sz="0" w:space="0" w:color="auto"/>
            <w:left w:val="none" w:sz="0" w:space="0" w:color="auto"/>
            <w:bottom w:val="none" w:sz="0" w:space="0" w:color="auto"/>
            <w:right w:val="none" w:sz="0" w:space="0" w:color="auto"/>
          </w:divBdr>
        </w:div>
        <w:div w:id="198470232">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ichigan.gov/talentfund"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6420e81-dab3-4a95-b9fb-97a8fd7096b6" xsi:nil="true"/>
    <lcf76f155ced4ddcb4097134ff3c332f xmlns="78c0ad38-67d2-4b18-9f4f-db6878baf25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6C3934007FD62498F445C2F2B58E10C" ma:contentTypeVersion="18" ma:contentTypeDescription="Create a new document." ma:contentTypeScope="" ma:versionID="7b7e3c9365268db477d05c5ee68a37de">
  <xsd:schema xmlns:xsd="http://www.w3.org/2001/XMLSchema" xmlns:xs="http://www.w3.org/2001/XMLSchema" xmlns:p="http://schemas.microsoft.com/office/2006/metadata/properties" xmlns:ns2="78c0ad38-67d2-4b18-9f4f-db6878baf255" xmlns:ns3="26420e81-dab3-4a95-b9fb-97a8fd7096b6" targetNamespace="http://schemas.microsoft.com/office/2006/metadata/properties" ma:root="true" ma:fieldsID="f8cb58ad78a7f326403ca9696400b367" ns2:_="" ns3:_="">
    <xsd:import namespace="78c0ad38-67d2-4b18-9f4f-db6878baf255"/>
    <xsd:import namespace="26420e81-dab3-4a95-b9fb-97a8fd7096b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c0ad38-67d2-4b18-9f4f-db6878baf2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602e0e6-d5c7-4d83-8f3d-65d5f3983ba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420e81-dab3-4a95-b9fb-97a8fd7096b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16dfbc6-6dc6-4c87-b34d-be06cb648505}" ma:internalName="TaxCatchAll" ma:showField="CatchAllData" ma:web="26420e81-dab3-4a95-b9fb-97a8fd7096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A91E91-608D-43CE-ABB8-8E9449D72B8F}">
  <ds:schemaRefs>
    <ds:schemaRef ds:uri="http://schemas.microsoft.com/office/2006/metadata/properties"/>
    <ds:schemaRef ds:uri="http://purl.org/dc/dcmitype/"/>
    <ds:schemaRef ds:uri="http://purl.org/dc/elements/1.1/"/>
    <ds:schemaRef ds:uri="http://schemas.openxmlformats.org/package/2006/metadata/core-properties"/>
    <ds:schemaRef ds:uri="http://www.w3.org/XML/1998/namespace"/>
    <ds:schemaRef ds:uri="http://schemas.microsoft.com/office/infopath/2007/PartnerControls"/>
    <ds:schemaRef ds:uri="http://purl.org/dc/terms/"/>
    <ds:schemaRef ds:uri="http://schemas.microsoft.com/office/2006/documentManagement/types"/>
    <ds:schemaRef ds:uri="78c0ad38-67d2-4b18-9f4f-db6878baf255"/>
    <ds:schemaRef ds:uri="26420e81-dab3-4a95-b9fb-97a8fd7096b6"/>
  </ds:schemaRefs>
</ds:datastoreItem>
</file>

<file path=customXml/itemProps2.xml><?xml version="1.0" encoding="utf-8"?>
<ds:datastoreItem xmlns:ds="http://schemas.openxmlformats.org/officeDocument/2006/customXml" ds:itemID="{3EF1916E-41CE-4437-B3AD-8F0EAFCEE760}">
  <ds:schemaRefs>
    <ds:schemaRef ds:uri="http://schemas.microsoft.com/sharepoint/v3/contenttype/forms"/>
  </ds:schemaRefs>
</ds:datastoreItem>
</file>

<file path=customXml/itemProps3.xml><?xml version="1.0" encoding="utf-8"?>
<ds:datastoreItem xmlns:ds="http://schemas.openxmlformats.org/officeDocument/2006/customXml" ds:itemID="{BE51D314-AD8E-4B3F-A990-F05F7EA5F5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c0ad38-67d2-4b18-9f4f-db6878baf255"/>
    <ds:schemaRef ds:uri="26420e81-dab3-4a95-b9fb-97a8fd7096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950</Words>
  <Characters>5417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Zimmerman, Virginia (LEO)</dc:creator>
  <cp:keywords/>
  <dc:description/>
  <cp:lastModifiedBy>Chrissy Douglas</cp:lastModifiedBy>
  <cp:revision>2</cp:revision>
  <dcterms:created xsi:type="dcterms:W3CDTF">2025-03-12T19:05:00Z</dcterms:created>
  <dcterms:modified xsi:type="dcterms:W3CDTF">2025-03-12T19:05:00Z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2021-03-19T17:33:35Z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ce1161d7-2ee0-4254-899d-81d407cd397e</vt:lpwstr>
  </property>
  <property fmtid="{D5CDD505-2E9C-101B-9397-08002B2CF9AE}" pid="8" name="MSIP_Label_3a2fed65-62e7-46ea-af74-187e0c17143a_ContentBits">
    <vt:lpwstr>0</vt:lpwstr>
  </property>
  <property fmtid="{D5CDD505-2E9C-101B-9397-08002B2CF9AE}" pid="9" name="ContentTypeId">
    <vt:lpwstr>0x010100F6C3934007FD62498F445C2F2B58E10C</vt:lpwstr>
  </property>
</Properties>
</file>